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B93B7" w14:textId="5CAAB575" w:rsidR="007345C8" w:rsidRDefault="00215332" w:rsidP="00D218F1">
      <w:pPr>
        <w:spacing w:after="0" w:line="240" w:lineRule="auto"/>
        <w:rPr>
          <w:rFonts w:ascii="Arial" w:hAnsi="Arial" w:cs="Arial"/>
          <w:b/>
          <w:sz w:val="20"/>
          <w:szCs w:val="20"/>
        </w:rPr>
      </w:pPr>
      <w:r>
        <w:rPr>
          <w:rFonts w:ascii="Arial" w:hAnsi="Arial" w:cs="Arial"/>
          <w:noProof/>
          <w:sz w:val="24"/>
          <w:szCs w:val="24"/>
          <w:lang w:eastAsia="en-GB"/>
        </w:rPr>
        <w:drawing>
          <wp:inline distT="0" distB="0" distL="0" distR="0" wp14:anchorId="5AF6FEF7" wp14:editId="50A027B1">
            <wp:extent cx="1230739" cy="469065"/>
            <wp:effectExtent l="0" t="0" r="7620"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CU-SCI08.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2977" cy="469918"/>
                    </a:xfrm>
                    <a:prstGeom prst="rect">
                      <a:avLst/>
                    </a:prstGeom>
                  </pic:spPr>
                </pic:pic>
              </a:graphicData>
            </a:graphic>
          </wp:inline>
        </w:drawing>
      </w:r>
      <w:r w:rsidR="00D137FF" w:rsidRPr="00DB25BA">
        <w:rPr>
          <w:rFonts w:ascii="Arial" w:hAnsi="Arial" w:cs="Arial"/>
          <w:b/>
          <w:sz w:val="20"/>
          <w:szCs w:val="20"/>
        </w:rPr>
        <w:t xml:space="preserve">    </w:t>
      </w:r>
      <w:r w:rsidR="007C65A8">
        <w:rPr>
          <w:rFonts w:ascii="Arial" w:hAnsi="Arial" w:cs="Arial"/>
          <w:b/>
          <w:sz w:val="20"/>
          <w:szCs w:val="20"/>
        </w:rPr>
        <w:t xml:space="preserve">        </w:t>
      </w:r>
      <w:r w:rsidR="00884B2B">
        <w:rPr>
          <w:rFonts w:ascii="Arial" w:hAnsi="Arial" w:cs="Arial"/>
          <w:b/>
          <w:sz w:val="20"/>
          <w:szCs w:val="20"/>
        </w:rPr>
        <w:t xml:space="preserve"> </w:t>
      </w:r>
      <w:r w:rsidR="00491466">
        <w:rPr>
          <w:rFonts w:ascii="Arial" w:hAnsi="Arial" w:cs="Arial"/>
          <w:b/>
          <w:sz w:val="20"/>
          <w:szCs w:val="20"/>
        </w:rPr>
        <w:t xml:space="preserve">                    </w:t>
      </w:r>
      <w:r w:rsidR="00B512C9">
        <w:rPr>
          <w:rFonts w:ascii="Arial" w:hAnsi="Arial" w:cs="Arial"/>
          <w:b/>
          <w:sz w:val="20"/>
          <w:szCs w:val="20"/>
        </w:rPr>
        <w:tab/>
      </w:r>
      <w:r w:rsidR="00B512C9">
        <w:rPr>
          <w:rFonts w:ascii="Arial" w:hAnsi="Arial" w:cs="Arial"/>
          <w:b/>
          <w:sz w:val="20"/>
          <w:szCs w:val="20"/>
        </w:rPr>
        <w:tab/>
      </w:r>
      <w:r w:rsidR="00B512C9">
        <w:rPr>
          <w:rFonts w:ascii="Arial" w:hAnsi="Arial" w:cs="Arial"/>
          <w:b/>
          <w:sz w:val="20"/>
          <w:szCs w:val="20"/>
        </w:rPr>
        <w:tab/>
      </w:r>
      <w:r w:rsidR="00B512C9">
        <w:rPr>
          <w:rFonts w:ascii="Arial" w:hAnsi="Arial" w:cs="Arial"/>
          <w:b/>
          <w:sz w:val="20"/>
          <w:szCs w:val="20"/>
        </w:rPr>
        <w:tab/>
      </w:r>
      <w:r w:rsidR="00491466">
        <w:rPr>
          <w:rFonts w:ascii="Arial" w:hAnsi="Arial" w:cs="Arial"/>
          <w:b/>
          <w:sz w:val="20"/>
          <w:szCs w:val="20"/>
        </w:rPr>
        <w:t xml:space="preserve"> </w:t>
      </w:r>
      <w:r w:rsidR="00B512C9" w:rsidRPr="002D713F">
        <w:rPr>
          <w:rFonts w:ascii="Arial" w:hAnsi="Arial" w:cs="Arial"/>
          <w:b/>
          <w:noProof/>
          <w:sz w:val="20"/>
          <w:szCs w:val="20"/>
        </w:rPr>
        <w:drawing>
          <wp:inline distT="0" distB="0" distL="0" distR="0" wp14:anchorId="5AD01A6F" wp14:editId="7C92EC10">
            <wp:extent cx="2074645" cy="511747"/>
            <wp:effectExtent l="0" t="0" r="0" b="3175"/>
            <wp:docPr id="3" name="Obrázek 3"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text&#10;&#10;Popis byl vytvořen automatick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6748" cy="517199"/>
                    </a:xfrm>
                    <a:prstGeom prst="rect">
                      <a:avLst/>
                    </a:prstGeom>
                    <a:noFill/>
                  </pic:spPr>
                </pic:pic>
              </a:graphicData>
            </a:graphic>
          </wp:inline>
        </w:drawing>
      </w:r>
      <w:r w:rsidR="00491466">
        <w:rPr>
          <w:rFonts w:ascii="Arial" w:hAnsi="Arial" w:cs="Arial"/>
          <w:b/>
          <w:sz w:val="20"/>
          <w:szCs w:val="20"/>
        </w:rPr>
        <w:t xml:space="preserve">      </w:t>
      </w:r>
    </w:p>
    <w:p w14:paraId="51DEBA48" w14:textId="77777777" w:rsidR="0014681C" w:rsidRPr="004F069A" w:rsidRDefault="0014681C" w:rsidP="00D218F1">
      <w:pPr>
        <w:spacing w:after="0" w:line="240" w:lineRule="auto"/>
        <w:rPr>
          <w:rFonts w:ascii="Arial" w:hAnsi="Arial" w:cs="Arial"/>
          <w:sz w:val="28"/>
          <w:szCs w:val="28"/>
        </w:rPr>
      </w:pPr>
    </w:p>
    <w:tbl>
      <w:tblPr>
        <w:tblStyle w:val="Mkatabulky"/>
        <w:tblW w:w="0" w:type="auto"/>
        <w:tblLayout w:type="fixed"/>
        <w:tblLook w:val="04A0" w:firstRow="1" w:lastRow="0" w:firstColumn="1" w:lastColumn="0" w:noHBand="0" w:noVBand="1"/>
      </w:tblPr>
      <w:tblGrid>
        <w:gridCol w:w="1413"/>
        <w:gridCol w:w="8781"/>
      </w:tblGrid>
      <w:tr w:rsidR="006F42F5" w:rsidRPr="00360080" w14:paraId="5416E148" w14:textId="77777777" w:rsidTr="00B80ACE">
        <w:tc>
          <w:tcPr>
            <w:tcW w:w="1413" w:type="dxa"/>
          </w:tcPr>
          <w:p w14:paraId="689D3E16" w14:textId="77777777" w:rsidR="006F42F5" w:rsidRPr="00360080" w:rsidRDefault="00906EA9" w:rsidP="00EC032D">
            <w:pPr>
              <w:rPr>
                <w:rFonts w:ascii="Arial" w:hAnsi="Arial" w:cs="Arial"/>
                <w:sz w:val="20"/>
                <w:szCs w:val="20"/>
              </w:rPr>
            </w:pPr>
            <w:r w:rsidRPr="00360080">
              <w:rPr>
                <w:rFonts w:ascii="Arial" w:hAnsi="Arial" w:cs="Arial"/>
                <w:sz w:val="20"/>
                <w:szCs w:val="20"/>
              </w:rPr>
              <w:t>Deadline</w:t>
            </w:r>
          </w:p>
        </w:tc>
        <w:tc>
          <w:tcPr>
            <w:tcW w:w="8781" w:type="dxa"/>
          </w:tcPr>
          <w:p w14:paraId="7363BB57" w14:textId="5EE2BB2F" w:rsidR="00434A5B" w:rsidRPr="00360080" w:rsidRDefault="00ED35E1" w:rsidP="00ED35E1">
            <w:pPr>
              <w:shd w:val="clear" w:color="auto" w:fill="FFFFFF"/>
              <w:rPr>
                <w:rFonts w:ascii="Arial" w:eastAsia="Times New Roman" w:hAnsi="Arial" w:cs="Arial"/>
                <w:color w:val="757575"/>
                <w:sz w:val="20"/>
                <w:szCs w:val="20"/>
                <w:lang w:val="cs-CZ" w:eastAsia="cs-CZ"/>
              </w:rPr>
            </w:pPr>
            <w:r w:rsidRPr="00360080">
              <w:rPr>
                <w:rFonts w:ascii="Arial" w:eastAsia="Times New Roman" w:hAnsi="Arial" w:cs="Arial"/>
                <w:b/>
                <w:bCs/>
                <w:color w:val="404040"/>
                <w:sz w:val="20"/>
                <w:szCs w:val="20"/>
                <w:bdr w:val="none" w:sz="0" w:space="0" w:color="auto" w:frame="1"/>
                <w:lang w:val="cs-CZ" w:eastAsia="cs-CZ"/>
              </w:rPr>
              <w:t>18 April 2023 17:00:00 Brussels time</w:t>
            </w:r>
          </w:p>
        </w:tc>
      </w:tr>
      <w:tr w:rsidR="000F77EA" w:rsidRPr="00360080" w14:paraId="164AD9DE" w14:textId="77777777" w:rsidTr="00B80ACE">
        <w:tc>
          <w:tcPr>
            <w:tcW w:w="1413" w:type="dxa"/>
          </w:tcPr>
          <w:p w14:paraId="0CCD578F" w14:textId="77777777" w:rsidR="000F77EA" w:rsidRPr="00360080" w:rsidRDefault="00906EA9" w:rsidP="00EC032D">
            <w:pPr>
              <w:rPr>
                <w:rFonts w:ascii="Arial" w:hAnsi="Arial" w:cs="Arial"/>
                <w:sz w:val="20"/>
                <w:szCs w:val="20"/>
              </w:rPr>
            </w:pPr>
            <w:r w:rsidRPr="00360080">
              <w:rPr>
                <w:rFonts w:ascii="Arial" w:hAnsi="Arial" w:cs="Arial"/>
                <w:sz w:val="20"/>
                <w:szCs w:val="20"/>
              </w:rPr>
              <w:t>Call name</w:t>
            </w:r>
          </w:p>
        </w:tc>
        <w:tc>
          <w:tcPr>
            <w:tcW w:w="8781" w:type="dxa"/>
          </w:tcPr>
          <w:p w14:paraId="3CA4B89B" w14:textId="3AFC39C1" w:rsidR="000F77EA" w:rsidRPr="00360080" w:rsidRDefault="00000000" w:rsidP="00ED35E1">
            <w:pPr>
              <w:shd w:val="clear" w:color="auto" w:fill="FFFFFF"/>
              <w:spacing w:after="200" w:line="276" w:lineRule="auto"/>
              <w:rPr>
                <w:rFonts w:ascii="Arial" w:hAnsi="Arial" w:cs="Arial"/>
                <w:sz w:val="20"/>
                <w:szCs w:val="20"/>
              </w:rPr>
            </w:pPr>
            <w:hyperlink r:id="rId10" w:history="1">
              <w:r w:rsidR="00ED35E1" w:rsidRPr="00360080">
                <w:rPr>
                  <w:rStyle w:val="Hypertextovodkaz"/>
                  <w:rFonts w:ascii="Arial" w:hAnsi="Arial" w:cs="Arial"/>
                  <w:b/>
                  <w:bCs/>
                  <w:color w:val="auto"/>
                  <w:sz w:val="20"/>
                  <w:szCs w:val="20"/>
                  <w:u w:val="none"/>
                  <w:bdr w:val="none" w:sz="0" w:space="0" w:color="auto" w:frame="1"/>
                </w:rPr>
                <w:t>Climate sciences and responses (HORIZON-CL5-2023-D1-01)</w:t>
              </w:r>
            </w:hyperlink>
          </w:p>
        </w:tc>
      </w:tr>
      <w:tr w:rsidR="00B80ACE" w:rsidRPr="00360080" w14:paraId="14B716DF" w14:textId="77777777" w:rsidTr="00B80ACE">
        <w:tc>
          <w:tcPr>
            <w:tcW w:w="1413" w:type="dxa"/>
          </w:tcPr>
          <w:p w14:paraId="5094DF08" w14:textId="77777777" w:rsidR="00B80ACE" w:rsidRPr="00360080" w:rsidRDefault="00B80ACE" w:rsidP="00B80ACE">
            <w:pPr>
              <w:rPr>
                <w:rFonts w:ascii="Arial" w:hAnsi="Arial" w:cs="Arial"/>
                <w:sz w:val="20"/>
                <w:szCs w:val="20"/>
              </w:rPr>
            </w:pPr>
            <w:r w:rsidRPr="00360080">
              <w:rPr>
                <w:rFonts w:ascii="Arial" w:hAnsi="Arial" w:cs="Arial"/>
                <w:sz w:val="20"/>
                <w:szCs w:val="20"/>
              </w:rPr>
              <w:t>www</w:t>
            </w:r>
          </w:p>
        </w:tc>
        <w:tc>
          <w:tcPr>
            <w:tcW w:w="8781" w:type="dxa"/>
          </w:tcPr>
          <w:p w14:paraId="78CEA283" w14:textId="77777777" w:rsidR="00B80ACE" w:rsidRPr="00360080" w:rsidRDefault="00000000" w:rsidP="00B80ACE">
            <w:pPr>
              <w:rPr>
                <w:rFonts w:ascii="Arial" w:hAnsi="Arial" w:cs="Arial"/>
                <w:sz w:val="20"/>
                <w:szCs w:val="20"/>
              </w:rPr>
            </w:pPr>
            <w:hyperlink r:id="rId11" w:history="1">
              <w:r w:rsidR="00ED35E1" w:rsidRPr="00360080">
                <w:rPr>
                  <w:rStyle w:val="Hypertextovodkaz"/>
                  <w:rFonts w:ascii="Arial" w:hAnsi="Arial" w:cs="Arial"/>
                  <w:sz w:val="20"/>
                  <w:szCs w:val="20"/>
                </w:rPr>
                <w:t>Funding &amp; tenders (europa.eu)</w:t>
              </w:r>
            </w:hyperlink>
          </w:p>
          <w:p w14:paraId="10CC0EA3" w14:textId="77777777" w:rsidR="00ED35E1" w:rsidRPr="00360080" w:rsidRDefault="00ED35E1" w:rsidP="00B80ACE">
            <w:pPr>
              <w:rPr>
                <w:rFonts w:ascii="Arial" w:hAnsi="Arial" w:cs="Arial"/>
                <w:sz w:val="20"/>
                <w:szCs w:val="20"/>
              </w:rPr>
            </w:pPr>
          </w:p>
          <w:p w14:paraId="7A3D1762" w14:textId="297FF4CB" w:rsidR="00ED35E1" w:rsidRPr="00360080" w:rsidRDefault="00ED35E1" w:rsidP="00B80ACE">
            <w:pPr>
              <w:rPr>
                <w:rFonts w:ascii="Arial" w:hAnsi="Arial" w:cs="Arial"/>
                <w:sz w:val="20"/>
                <w:szCs w:val="20"/>
              </w:rPr>
            </w:pPr>
            <w:r w:rsidRPr="00360080">
              <w:rPr>
                <w:rFonts w:ascii="Arial" w:hAnsi="Arial" w:cs="Arial"/>
                <w:sz w:val="20"/>
                <w:szCs w:val="20"/>
              </w:rPr>
              <w:t>https://ec.europa.eu/info/funding-tenders/opportunities/portal/screen/opportunities/topic-details/horizon-cl5-2023-d1-01-01;callCode=HORIZON-CL5-2023-D1-01;freeTextSearchKeyword=;matchWholeText=true;typeCodes=1;statusCodes=31094501,31094502,31094503;programmePeriod=null;programCcm2Id=43108390;programDivisionCode=null;focusAreaCode=null;destinationGroup=null;missionGroup=null;geographicalZonesCode=null;programmeDivisionProspect=null;startDateLte=null;startDateGte=null;crossCuttingPriorityCode=null;cpvCode=null;performanceOfDelivery=null;sortQuery=sortStatus;orderBy=asc;onlyTenders=false;topicListKey=callTopicSearchTableState</w:t>
            </w:r>
          </w:p>
        </w:tc>
      </w:tr>
      <w:tr w:rsidR="00ED35E1" w:rsidRPr="00360080" w14:paraId="3B4164EB" w14:textId="77777777" w:rsidTr="00B80ACE">
        <w:tc>
          <w:tcPr>
            <w:tcW w:w="1413" w:type="dxa"/>
          </w:tcPr>
          <w:p w14:paraId="58E49777" w14:textId="3093A58D" w:rsidR="00ED35E1" w:rsidRPr="00360080" w:rsidRDefault="00ED35E1" w:rsidP="00B80ACE">
            <w:pPr>
              <w:rPr>
                <w:rFonts w:ascii="Arial" w:hAnsi="Arial" w:cs="Arial"/>
                <w:sz w:val="20"/>
                <w:szCs w:val="20"/>
              </w:rPr>
            </w:pPr>
            <w:r w:rsidRPr="00360080">
              <w:rPr>
                <w:rFonts w:ascii="Arial" w:hAnsi="Arial" w:cs="Arial"/>
                <w:sz w:val="20"/>
                <w:szCs w:val="20"/>
              </w:rPr>
              <w:t>Topic</w:t>
            </w:r>
          </w:p>
        </w:tc>
        <w:tc>
          <w:tcPr>
            <w:tcW w:w="8781" w:type="dxa"/>
          </w:tcPr>
          <w:p w14:paraId="158FA3AA" w14:textId="77777777" w:rsidR="00ED35E1" w:rsidRPr="00360080" w:rsidRDefault="00ED35E1" w:rsidP="00ED35E1">
            <w:pPr>
              <w:shd w:val="clear" w:color="auto" w:fill="F6F7FA"/>
              <w:outlineLvl w:val="1"/>
              <w:rPr>
                <w:rFonts w:ascii="Arial" w:eastAsia="Times New Roman" w:hAnsi="Arial" w:cs="Arial"/>
                <w:color w:val="616161"/>
                <w:sz w:val="20"/>
                <w:szCs w:val="20"/>
                <w:lang w:val="cs-CZ" w:eastAsia="cs-CZ"/>
              </w:rPr>
            </w:pPr>
            <w:r w:rsidRPr="00360080">
              <w:rPr>
                <w:rFonts w:ascii="Arial" w:eastAsia="Times New Roman" w:hAnsi="Arial" w:cs="Arial"/>
                <w:color w:val="616161"/>
                <w:sz w:val="20"/>
                <w:szCs w:val="20"/>
                <w:lang w:val="cs-CZ" w:eastAsia="cs-CZ"/>
              </w:rPr>
              <w:t>Further climate knowledge through advanced science and technologies for analysing Earth observation and Earth system model data</w:t>
            </w:r>
          </w:p>
          <w:p w14:paraId="54938AD1" w14:textId="77777777" w:rsidR="00ED35E1" w:rsidRPr="00360080" w:rsidRDefault="00ED35E1" w:rsidP="00B80ACE">
            <w:pPr>
              <w:rPr>
                <w:rFonts w:ascii="Arial" w:hAnsi="Arial" w:cs="Arial"/>
                <w:sz w:val="20"/>
                <w:szCs w:val="20"/>
              </w:rPr>
            </w:pPr>
          </w:p>
        </w:tc>
      </w:tr>
      <w:tr w:rsidR="00B80ACE" w:rsidRPr="00360080" w14:paraId="60F9D244" w14:textId="77777777" w:rsidTr="00B80ACE">
        <w:tc>
          <w:tcPr>
            <w:tcW w:w="1413" w:type="dxa"/>
          </w:tcPr>
          <w:p w14:paraId="4EF51DB0" w14:textId="77777777" w:rsidR="00B80ACE" w:rsidRPr="00360080" w:rsidRDefault="00B80ACE" w:rsidP="00B80ACE">
            <w:pPr>
              <w:rPr>
                <w:rFonts w:ascii="Arial" w:hAnsi="Arial" w:cs="Arial"/>
                <w:sz w:val="20"/>
                <w:szCs w:val="20"/>
              </w:rPr>
            </w:pPr>
            <w:r w:rsidRPr="00360080">
              <w:rPr>
                <w:rFonts w:ascii="Arial" w:hAnsi="Arial" w:cs="Arial"/>
                <w:sz w:val="20"/>
                <w:szCs w:val="20"/>
              </w:rPr>
              <w:t>Focused on</w:t>
            </w:r>
          </w:p>
        </w:tc>
        <w:tc>
          <w:tcPr>
            <w:tcW w:w="8781" w:type="dxa"/>
          </w:tcPr>
          <w:p w14:paraId="2C80B704" w14:textId="7588A8DB" w:rsidR="00B80ACE" w:rsidRPr="00360080" w:rsidRDefault="00B80ACE" w:rsidP="00C743A3">
            <w:pPr>
              <w:pStyle w:val="Normlnweb"/>
              <w:shd w:val="clear" w:color="auto" w:fill="FFFFFF"/>
              <w:spacing w:before="0" w:after="0"/>
              <w:rPr>
                <w:rFonts w:ascii="Arial" w:hAnsi="Arial" w:cs="Arial"/>
                <w:color w:val="D9D9D9" w:themeColor="background1" w:themeShade="D9"/>
                <w:sz w:val="20"/>
                <w:szCs w:val="20"/>
              </w:rPr>
            </w:pPr>
          </w:p>
        </w:tc>
      </w:tr>
      <w:tr w:rsidR="00B512C9" w:rsidRPr="00360080" w14:paraId="178D4F4F" w14:textId="77777777" w:rsidTr="00B80ACE">
        <w:tc>
          <w:tcPr>
            <w:tcW w:w="1413" w:type="dxa"/>
          </w:tcPr>
          <w:p w14:paraId="6B047549" w14:textId="77777777" w:rsidR="00B512C9" w:rsidRPr="00360080" w:rsidRDefault="00B512C9" w:rsidP="00B512C9">
            <w:pPr>
              <w:rPr>
                <w:rFonts w:ascii="Arial" w:hAnsi="Arial" w:cs="Arial"/>
                <w:sz w:val="20"/>
                <w:szCs w:val="20"/>
              </w:rPr>
            </w:pPr>
            <w:r w:rsidRPr="00360080">
              <w:rPr>
                <w:rFonts w:ascii="Arial" w:hAnsi="Arial" w:cs="Arial"/>
                <w:sz w:val="20"/>
                <w:szCs w:val="20"/>
              </w:rPr>
              <w:t>Applicant</w:t>
            </w:r>
          </w:p>
        </w:tc>
        <w:tc>
          <w:tcPr>
            <w:tcW w:w="8781" w:type="dxa"/>
          </w:tcPr>
          <w:p w14:paraId="251451A8" w14:textId="4C322771" w:rsidR="00B512C9" w:rsidRPr="00360080" w:rsidRDefault="00B512C9" w:rsidP="00B512C9">
            <w:pPr>
              <w:rPr>
                <w:rFonts w:ascii="Arial" w:hAnsi="Arial" w:cs="Arial"/>
                <w:color w:val="D9D9D9" w:themeColor="background1" w:themeShade="D9"/>
                <w:sz w:val="20"/>
                <w:szCs w:val="20"/>
              </w:rPr>
            </w:pPr>
            <w:r w:rsidRPr="00360080">
              <w:rPr>
                <w:rFonts w:ascii="Arial" w:hAnsi="Arial" w:cs="Arial"/>
                <w:sz w:val="20"/>
                <w:szCs w:val="20"/>
              </w:rPr>
              <w:t>Any participating organisation established in an EU Member State or third country associated to the Programme can be the applicant. This organisation applies on behalf of all participating organisations involved in the project.</w:t>
            </w:r>
          </w:p>
        </w:tc>
      </w:tr>
      <w:tr w:rsidR="00F662F9" w:rsidRPr="00360080" w14:paraId="79CAD401" w14:textId="77777777" w:rsidTr="00B80ACE">
        <w:tc>
          <w:tcPr>
            <w:tcW w:w="1413" w:type="dxa"/>
          </w:tcPr>
          <w:p w14:paraId="232842CC" w14:textId="77777777" w:rsidR="00837D57" w:rsidRPr="00360080" w:rsidRDefault="00837D57" w:rsidP="00060D35">
            <w:pPr>
              <w:rPr>
                <w:rFonts w:ascii="Arial" w:hAnsi="Arial" w:cs="Arial"/>
                <w:sz w:val="20"/>
                <w:szCs w:val="20"/>
              </w:rPr>
            </w:pPr>
            <w:r w:rsidRPr="00360080">
              <w:rPr>
                <w:rFonts w:ascii="Arial" w:hAnsi="Arial" w:cs="Arial"/>
                <w:sz w:val="20"/>
                <w:szCs w:val="20"/>
              </w:rPr>
              <w:t>Team</w:t>
            </w:r>
          </w:p>
        </w:tc>
        <w:tc>
          <w:tcPr>
            <w:tcW w:w="8781" w:type="dxa"/>
          </w:tcPr>
          <w:p w14:paraId="5A974F52" w14:textId="2A77AA45" w:rsidR="00837D57" w:rsidRPr="00360080" w:rsidRDefault="00B80ACE" w:rsidP="00060D35">
            <w:pPr>
              <w:rPr>
                <w:rFonts w:ascii="Arial" w:hAnsi="Arial" w:cs="Arial"/>
                <w:color w:val="D9D9D9" w:themeColor="background1" w:themeShade="D9"/>
                <w:sz w:val="20"/>
                <w:szCs w:val="20"/>
              </w:rPr>
            </w:pPr>
            <w:r w:rsidRPr="00360080">
              <w:rPr>
                <w:rFonts w:ascii="Arial" w:hAnsi="Arial" w:cs="Arial"/>
                <w:color w:val="333333"/>
                <w:sz w:val="20"/>
                <w:szCs w:val="20"/>
                <w:shd w:val="clear" w:color="auto" w:fill="FFFFFF"/>
              </w:rPr>
              <w:t> cooperation between “big data” engineers, EO specialists and climate scientists.</w:t>
            </w:r>
          </w:p>
        </w:tc>
      </w:tr>
      <w:tr w:rsidR="00F662F9" w:rsidRPr="00360080" w14:paraId="6E3426FC" w14:textId="77777777" w:rsidTr="00B80ACE">
        <w:tc>
          <w:tcPr>
            <w:tcW w:w="1413" w:type="dxa"/>
          </w:tcPr>
          <w:p w14:paraId="753414AF" w14:textId="77777777" w:rsidR="00837D57" w:rsidRPr="00360080" w:rsidRDefault="00837D57" w:rsidP="006C64F2">
            <w:pPr>
              <w:rPr>
                <w:rFonts w:ascii="Arial" w:hAnsi="Arial" w:cs="Arial"/>
                <w:sz w:val="20"/>
                <w:szCs w:val="20"/>
              </w:rPr>
            </w:pPr>
            <w:r w:rsidRPr="00360080">
              <w:rPr>
                <w:rFonts w:ascii="Arial" w:hAnsi="Arial" w:cs="Arial"/>
                <w:sz w:val="20"/>
                <w:szCs w:val="20"/>
              </w:rPr>
              <w:t>Eligible organisation</w:t>
            </w:r>
          </w:p>
        </w:tc>
        <w:tc>
          <w:tcPr>
            <w:tcW w:w="8781" w:type="dxa"/>
          </w:tcPr>
          <w:p w14:paraId="3252AAE3" w14:textId="77777777" w:rsidR="00B512C9" w:rsidRPr="00360080" w:rsidRDefault="00B512C9" w:rsidP="00761A1B">
            <w:pPr>
              <w:rPr>
                <w:rFonts w:ascii="Arial" w:hAnsi="Arial" w:cs="Arial"/>
                <w:sz w:val="20"/>
                <w:szCs w:val="20"/>
              </w:rPr>
            </w:pPr>
            <w:r w:rsidRPr="00360080">
              <w:rPr>
                <w:rFonts w:ascii="Arial" w:hAnsi="Arial" w:cs="Arial"/>
                <w:sz w:val="20"/>
                <w:szCs w:val="20"/>
              </w:rPr>
              <w:t xml:space="preserve">Any legal entity, regardless of its place of establishment, including legal entities from nonassociated third countries or international organisations (including international European research organisations4 ) is eligible to participate (whether it is eligible for funding or not), provided that the conditions laid down in the Horizon Europe Regulation5 have been met, along with any other conditions laid down in the specific call topic. </w:t>
            </w:r>
          </w:p>
          <w:p w14:paraId="4DF5DF1B" w14:textId="77777777" w:rsidR="00B512C9" w:rsidRPr="00360080" w:rsidRDefault="00B512C9" w:rsidP="00761A1B">
            <w:pPr>
              <w:rPr>
                <w:rFonts w:ascii="Arial" w:hAnsi="Arial" w:cs="Arial"/>
                <w:sz w:val="20"/>
                <w:szCs w:val="20"/>
              </w:rPr>
            </w:pPr>
          </w:p>
          <w:p w14:paraId="0FDECF81" w14:textId="77777777" w:rsidR="00B512C9" w:rsidRPr="00360080" w:rsidRDefault="00B512C9" w:rsidP="00761A1B">
            <w:pPr>
              <w:rPr>
                <w:rFonts w:ascii="Arial" w:hAnsi="Arial" w:cs="Arial"/>
                <w:sz w:val="20"/>
                <w:szCs w:val="20"/>
              </w:rPr>
            </w:pPr>
            <w:r w:rsidRPr="00360080">
              <w:rPr>
                <w:rFonts w:ascii="Arial" w:hAnsi="Arial" w:cs="Arial"/>
                <w:sz w:val="20"/>
                <w:szCs w:val="20"/>
              </w:rPr>
              <w:t xml:space="preserve">A ‘legal entity’ means any natural or legal person created and recognised as such under national law, EU law or international law, which has legal personality and which may, acting in its own name, exercise rights and be subject to obligations, or an entity without legal personality 6 . </w:t>
            </w:r>
          </w:p>
          <w:p w14:paraId="1E59B724" w14:textId="77777777" w:rsidR="00B512C9" w:rsidRPr="00360080" w:rsidRDefault="00B512C9" w:rsidP="00761A1B">
            <w:pPr>
              <w:rPr>
                <w:rFonts w:ascii="Arial" w:hAnsi="Arial" w:cs="Arial"/>
                <w:sz w:val="20"/>
                <w:szCs w:val="20"/>
              </w:rPr>
            </w:pPr>
          </w:p>
          <w:p w14:paraId="2E181D98" w14:textId="71CB466D" w:rsidR="00EF7AEC" w:rsidRPr="00360080" w:rsidRDefault="00B512C9" w:rsidP="00761A1B">
            <w:pPr>
              <w:rPr>
                <w:rFonts w:ascii="Arial" w:hAnsi="Arial" w:cs="Arial"/>
                <w:color w:val="D9D9D9" w:themeColor="background1" w:themeShade="D9"/>
                <w:sz w:val="20"/>
                <w:szCs w:val="20"/>
              </w:rPr>
            </w:pPr>
            <w:r w:rsidRPr="00360080">
              <w:rPr>
                <w:rFonts w:ascii="Arial" w:hAnsi="Arial" w:cs="Arial"/>
                <w:sz w:val="20"/>
                <w:szCs w:val="20"/>
              </w:rPr>
              <w:t>Beneficiaries and affiliated entities must register in the Participant Register before submitting their application, in order to get a participant identification code (PIC) and be validated by the Central Validation Service before signing the grant agreement. For the validation, they will be asked to upload the necessary documents showing their legal status and origin during the grant preparation stage. A validated PIC is not a prerequisite for submitting an application.</w:t>
            </w:r>
          </w:p>
        </w:tc>
      </w:tr>
      <w:tr w:rsidR="00F662F9" w:rsidRPr="00360080" w14:paraId="1534CD74" w14:textId="77777777" w:rsidTr="00B80ACE">
        <w:tc>
          <w:tcPr>
            <w:tcW w:w="1413" w:type="dxa"/>
          </w:tcPr>
          <w:p w14:paraId="61C8786C" w14:textId="77777777" w:rsidR="00837D57" w:rsidRPr="00360080" w:rsidRDefault="00837D57" w:rsidP="00060D35">
            <w:pPr>
              <w:rPr>
                <w:rFonts w:ascii="Arial" w:hAnsi="Arial" w:cs="Arial"/>
                <w:sz w:val="20"/>
                <w:szCs w:val="20"/>
              </w:rPr>
            </w:pPr>
            <w:r w:rsidRPr="00360080">
              <w:rPr>
                <w:rFonts w:ascii="Arial" w:hAnsi="Arial" w:cs="Arial"/>
                <w:sz w:val="20"/>
                <w:szCs w:val="20"/>
              </w:rPr>
              <w:t>Provider</w:t>
            </w:r>
          </w:p>
        </w:tc>
        <w:tc>
          <w:tcPr>
            <w:tcW w:w="8781" w:type="dxa"/>
          </w:tcPr>
          <w:p w14:paraId="62C0B035" w14:textId="42BE87C6" w:rsidR="00376B3A" w:rsidRPr="00360080" w:rsidRDefault="00C40C82" w:rsidP="00376B3A">
            <w:pPr>
              <w:rPr>
                <w:rFonts w:ascii="Arial" w:hAnsi="Arial" w:cs="Arial"/>
                <w:color w:val="D9D9D9" w:themeColor="background1" w:themeShade="D9"/>
                <w:sz w:val="20"/>
                <w:szCs w:val="20"/>
              </w:rPr>
            </w:pPr>
            <w:r w:rsidRPr="00360080">
              <w:rPr>
                <w:rFonts w:ascii="Arial" w:hAnsi="Arial" w:cs="Arial"/>
                <w:sz w:val="20"/>
                <w:szCs w:val="20"/>
              </w:rPr>
              <w:t>E</w:t>
            </w:r>
            <w:r w:rsidR="00CD5BB8" w:rsidRPr="00360080">
              <w:rPr>
                <w:rFonts w:ascii="Arial" w:hAnsi="Arial" w:cs="Arial"/>
                <w:sz w:val="20"/>
                <w:szCs w:val="20"/>
              </w:rPr>
              <w:t>uropean Commision</w:t>
            </w:r>
            <w:r w:rsidR="00DB5665" w:rsidRPr="00360080">
              <w:rPr>
                <w:rFonts w:ascii="Arial" w:hAnsi="Arial" w:cs="Arial"/>
                <w:sz w:val="20"/>
                <w:szCs w:val="20"/>
              </w:rPr>
              <w:t xml:space="preserve"> </w:t>
            </w:r>
          </w:p>
        </w:tc>
      </w:tr>
      <w:tr w:rsidR="00F662F9" w:rsidRPr="00360080" w14:paraId="6F3064BE" w14:textId="77777777" w:rsidTr="00B80ACE">
        <w:tc>
          <w:tcPr>
            <w:tcW w:w="1413" w:type="dxa"/>
          </w:tcPr>
          <w:p w14:paraId="25BA99B5" w14:textId="77777777" w:rsidR="00837D57" w:rsidRPr="00360080" w:rsidRDefault="00837D57" w:rsidP="00060D35">
            <w:pPr>
              <w:rPr>
                <w:rFonts w:ascii="Arial" w:hAnsi="Arial" w:cs="Arial"/>
                <w:sz w:val="20"/>
                <w:szCs w:val="20"/>
              </w:rPr>
            </w:pPr>
            <w:r w:rsidRPr="00360080">
              <w:rPr>
                <w:rFonts w:ascii="Arial" w:hAnsi="Arial" w:cs="Arial"/>
                <w:sz w:val="20"/>
                <w:szCs w:val="20"/>
              </w:rPr>
              <w:t>Call identifier</w:t>
            </w:r>
          </w:p>
        </w:tc>
        <w:tc>
          <w:tcPr>
            <w:tcW w:w="8781" w:type="dxa"/>
          </w:tcPr>
          <w:p w14:paraId="02A781EF" w14:textId="4FFA03AD" w:rsidR="00837D57" w:rsidRPr="00360080" w:rsidRDefault="00C743A3" w:rsidP="002C7159">
            <w:pPr>
              <w:pStyle w:val="Nadpis3"/>
              <w:shd w:val="clear" w:color="auto" w:fill="F6F7FA"/>
              <w:spacing w:before="0" w:line="276" w:lineRule="auto"/>
              <w:rPr>
                <w:rFonts w:ascii="Arial" w:hAnsi="Arial" w:cs="Arial"/>
                <w:color w:val="auto"/>
                <w:sz w:val="20"/>
                <w:szCs w:val="20"/>
              </w:rPr>
            </w:pPr>
            <w:r w:rsidRPr="00360080">
              <w:rPr>
                <w:rStyle w:val="ux-u-font-bold"/>
                <w:rFonts w:ascii="Arial" w:hAnsi="Arial" w:cs="Arial"/>
                <w:b/>
                <w:bCs/>
                <w:color w:val="auto"/>
                <w:sz w:val="20"/>
                <w:szCs w:val="20"/>
                <w:bdr w:val="none" w:sz="0" w:space="0" w:color="auto" w:frame="1"/>
              </w:rPr>
              <w:t>TOPIC ID:</w:t>
            </w:r>
            <w:r w:rsidRPr="00360080">
              <w:rPr>
                <w:rFonts w:ascii="Arial" w:hAnsi="Arial" w:cs="Arial"/>
                <w:b/>
                <w:bCs/>
                <w:color w:val="auto"/>
                <w:sz w:val="20"/>
                <w:szCs w:val="20"/>
              </w:rPr>
              <w:t> HORIZON-CL5-2023-D1-01-01</w:t>
            </w:r>
          </w:p>
        </w:tc>
      </w:tr>
      <w:tr w:rsidR="00F662F9" w:rsidRPr="00360080" w14:paraId="37C60B9A" w14:textId="77777777" w:rsidTr="00B80ACE">
        <w:tc>
          <w:tcPr>
            <w:tcW w:w="1413" w:type="dxa"/>
          </w:tcPr>
          <w:p w14:paraId="2E95D2B3" w14:textId="77777777" w:rsidR="00837D57" w:rsidRPr="00360080" w:rsidRDefault="00837D57" w:rsidP="00060D35">
            <w:pPr>
              <w:rPr>
                <w:rFonts w:ascii="Arial" w:hAnsi="Arial" w:cs="Arial"/>
                <w:sz w:val="20"/>
                <w:szCs w:val="20"/>
              </w:rPr>
            </w:pPr>
            <w:r w:rsidRPr="00360080">
              <w:rPr>
                <w:rFonts w:ascii="Arial" w:hAnsi="Arial" w:cs="Arial"/>
                <w:sz w:val="20"/>
                <w:szCs w:val="20"/>
              </w:rPr>
              <w:t>Call info</w:t>
            </w:r>
          </w:p>
        </w:tc>
        <w:tc>
          <w:tcPr>
            <w:tcW w:w="8781" w:type="dxa"/>
          </w:tcPr>
          <w:p w14:paraId="0401400B" w14:textId="77777777" w:rsidR="00C743A3" w:rsidRPr="00924DAC" w:rsidRDefault="00C743A3" w:rsidP="00C743A3">
            <w:pPr>
              <w:shd w:val="clear" w:color="auto" w:fill="EEEEEE"/>
              <w:rPr>
                <w:rFonts w:ascii="Arial" w:eastAsia="Times New Roman" w:hAnsi="Arial" w:cs="Arial"/>
                <w:b/>
                <w:bCs/>
                <w:sz w:val="20"/>
                <w:szCs w:val="20"/>
                <w:lang w:val="cs-CZ" w:eastAsia="cs-CZ"/>
              </w:rPr>
            </w:pPr>
            <w:r w:rsidRPr="00924DAC">
              <w:rPr>
                <w:rFonts w:ascii="Arial" w:eastAsia="Times New Roman" w:hAnsi="Arial" w:cs="Arial"/>
                <w:b/>
                <w:bCs/>
                <w:sz w:val="20"/>
                <w:szCs w:val="20"/>
                <w:bdr w:val="none" w:sz="0" w:space="0" w:color="auto" w:frame="1"/>
                <w:lang w:val="cs-CZ" w:eastAsia="cs-CZ"/>
              </w:rPr>
              <w:t>Destination</w:t>
            </w:r>
          </w:p>
          <w:p w14:paraId="3F02A2FD" w14:textId="77777777" w:rsidR="00C743A3" w:rsidRPr="00924DAC" w:rsidRDefault="00C743A3" w:rsidP="00C743A3">
            <w:pPr>
              <w:shd w:val="clear" w:color="auto" w:fill="FFFFFF"/>
              <w:rPr>
                <w:rFonts w:ascii="Arial" w:eastAsia="Times New Roman" w:hAnsi="Arial" w:cs="Arial"/>
                <w:sz w:val="20"/>
                <w:szCs w:val="20"/>
                <w:lang w:val="cs-CZ" w:eastAsia="cs-CZ"/>
              </w:rPr>
            </w:pPr>
            <w:r w:rsidRPr="00924DAC">
              <w:rPr>
                <w:rFonts w:ascii="Arial" w:eastAsia="Times New Roman" w:hAnsi="Arial" w:cs="Arial"/>
                <w:b/>
                <w:bCs/>
                <w:sz w:val="20"/>
                <w:szCs w:val="20"/>
                <w:bdr w:val="none" w:sz="0" w:space="0" w:color="auto" w:frame="1"/>
                <w:lang w:val="cs-CZ" w:eastAsia="cs-CZ"/>
              </w:rPr>
              <w:t>Climate sciences and responses for the transformation towards climate neutrality (2023/24)</w:t>
            </w:r>
          </w:p>
          <w:p w14:paraId="63339834" w14:textId="77777777" w:rsidR="00C743A3" w:rsidRPr="00924DAC" w:rsidRDefault="00C743A3" w:rsidP="00C743A3">
            <w:pPr>
              <w:shd w:val="clear" w:color="auto" w:fill="FFFFFF"/>
              <w:spacing w:before="100" w:beforeAutospacing="1" w:after="100" w:afterAutospacing="1"/>
              <w:rPr>
                <w:rFonts w:ascii="Arial" w:eastAsia="Times New Roman" w:hAnsi="Arial" w:cs="Arial"/>
                <w:sz w:val="20"/>
                <w:szCs w:val="20"/>
                <w:lang w:val="cs-CZ" w:eastAsia="cs-CZ"/>
              </w:rPr>
            </w:pPr>
            <w:r w:rsidRPr="00924DAC">
              <w:rPr>
                <w:rFonts w:ascii="Arial" w:eastAsia="Times New Roman" w:hAnsi="Arial" w:cs="Arial"/>
                <w:sz w:val="20"/>
                <w:szCs w:val="20"/>
                <w:lang w:val="cs-CZ" w:eastAsia="cs-CZ"/>
              </w:rPr>
              <w:t>Europe has been at the forefront of climate science and should retain its leadership position to support EU policies as well as international efforts for a global uptake of climate action in line with the Paris Agreement and the Sustainable Development Goals (SDGs), including biodiversity objectives. Advancing climate science and further broadening and deepening the knowledge base is essential to inform the societal transition towards a climate neutral and climate resilient society by 2050, as well as towards a more ambitious greenhouse gas reduction target by 2030. It will involve research that furthers our understanding of past, present and expected future changes in climate and its implications on ecosystems and society, closing knowledge gaps, and the development of the tools that support policy coherence and the implementation of effective mitigation and adaptation solutions.</w:t>
            </w:r>
          </w:p>
          <w:p w14:paraId="4D62E9FE" w14:textId="77777777" w:rsidR="00C743A3" w:rsidRPr="00924DAC" w:rsidRDefault="00C743A3" w:rsidP="00C743A3">
            <w:pPr>
              <w:shd w:val="clear" w:color="auto" w:fill="FFFFFF"/>
              <w:spacing w:before="100" w:beforeAutospacing="1" w:after="100" w:afterAutospacing="1"/>
              <w:rPr>
                <w:rFonts w:ascii="Arial" w:eastAsia="Times New Roman" w:hAnsi="Arial" w:cs="Arial"/>
                <w:sz w:val="20"/>
                <w:szCs w:val="20"/>
                <w:lang w:val="cs-CZ" w:eastAsia="cs-CZ"/>
              </w:rPr>
            </w:pPr>
            <w:r w:rsidRPr="00924DAC">
              <w:rPr>
                <w:rFonts w:ascii="Arial" w:eastAsia="Times New Roman" w:hAnsi="Arial" w:cs="Arial"/>
                <w:sz w:val="20"/>
                <w:szCs w:val="20"/>
                <w:lang w:val="cs-CZ" w:eastAsia="cs-CZ"/>
              </w:rPr>
              <w:t xml:space="preserve">The activities implemented under this section will enable the transition to a climate-neutral and resilient society and economy through improving the knowledge of the Earth system and the ability to predict and project its changes under different natural and socio-economic drivers. This includes a better understanding of society’s response and behavioural changes, allowing a </w:t>
            </w:r>
            <w:r w:rsidRPr="00924DAC">
              <w:rPr>
                <w:rFonts w:ascii="Arial" w:eastAsia="Times New Roman" w:hAnsi="Arial" w:cs="Arial"/>
                <w:sz w:val="20"/>
                <w:szCs w:val="20"/>
                <w:lang w:val="cs-CZ" w:eastAsia="cs-CZ"/>
              </w:rPr>
              <w:lastRenderedPageBreak/>
              <w:t>better estimation of the impacts of climate change and the design and evaluation of solutions and pathways for climate change mitigation and adaptation and related social transformation.</w:t>
            </w:r>
          </w:p>
          <w:p w14:paraId="66B78CB6" w14:textId="77777777" w:rsidR="00C743A3" w:rsidRPr="00924DAC" w:rsidRDefault="00C743A3" w:rsidP="00C743A3">
            <w:pPr>
              <w:shd w:val="clear" w:color="auto" w:fill="FFFFFF"/>
              <w:spacing w:beforeAutospacing="1" w:afterAutospacing="1"/>
              <w:rPr>
                <w:rFonts w:ascii="Arial" w:eastAsia="Times New Roman" w:hAnsi="Arial" w:cs="Arial"/>
                <w:sz w:val="20"/>
                <w:szCs w:val="20"/>
                <w:lang w:val="cs-CZ" w:eastAsia="cs-CZ"/>
              </w:rPr>
            </w:pPr>
            <w:r w:rsidRPr="00924DAC">
              <w:rPr>
                <w:rFonts w:ascii="Arial" w:eastAsia="Times New Roman" w:hAnsi="Arial" w:cs="Arial"/>
                <w:sz w:val="20"/>
                <w:szCs w:val="20"/>
                <w:lang w:val="cs-CZ" w:eastAsia="cs-CZ"/>
              </w:rPr>
              <w:t>This Destination contributes directly to the Strategic Plan’s </w:t>
            </w:r>
            <w:r w:rsidRPr="00924DAC">
              <w:rPr>
                <w:rFonts w:ascii="Arial" w:eastAsia="Times New Roman" w:hAnsi="Arial" w:cs="Arial"/>
                <w:b/>
                <w:bCs/>
                <w:sz w:val="20"/>
                <w:szCs w:val="20"/>
                <w:bdr w:val="none" w:sz="0" w:space="0" w:color="auto" w:frame="1"/>
                <w:lang w:val="cs-CZ" w:eastAsia="cs-CZ"/>
              </w:rPr>
              <w:t>Key Strategic Orientation</w:t>
            </w:r>
            <w:r w:rsidRPr="00924DAC">
              <w:rPr>
                <w:rFonts w:ascii="Arial" w:eastAsia="Times New Roman" w:hAnsi="Arial" w:cs="Arial"/>
                <w:sz w:val="20"/>
                <w:szCs w:val="20"/>
                <w:lang w:val="cs-CZ" w:eastAsia="cs-CZ"/>
              </w:rPr>
              <w:t> D </w:t>
            </w:r>
            <w:r w:rsidRPr="00924DAC">
              <w:rPr>
                <w:rFonts w:ascii="Arial" w:eastAsia="Times New Roman" w:hAnsi="Arial" w:cs="Arial"/>
                <w:i/>
                <w:iCs/>
                <w:sz w:val="20"/>
                <w:szCs w:val="20"/>
                <w:bdr w:val="none" w:sz="0" w:space="0" w:color="auto" w:frame="1"/>
                <w:lang w:val="cs-CZ" w:eastAsia="cs-CZ"/>
              </w:rPr>
              <w:t>”Making Europe the first digitally led circular, climate-neutral and sustainable economy through the transformation of its mobility, energy, construction and production systems”</w:t>
            </w:r>
            <w:r w:rsidRPr="00924DAC">
              <w:rPr>
                <w:rFonts w:ascii="Arial" w:eastAsia="Times New Roman" w:hAnsi="Arial" w:cs="Arial"/>
                <w:sz w:val="20"/>
                <w:szCs w:val="20"/>
                <w:lang w:val="cs-CZ" w:eastAsia="cs-CZ"/>
              </w:rPr>
              <w:t> and the </w:t>
            </w:r>
            <w:r w:rsidRPr="00924DAC">
              <w:rPr>
                <w:rFonts w:ascii="Arial" w:eastAsia="Times New Roman" w:hAnsi="Arial" w:cs="Arial"/>
                <w:b/>
                <w:bCs/>
                <w:sz w:val="20"/>
                <w:szCs w:val="20"/>
                <w:bdr w:val="none" w:sz="0" w:space="0" w:color="auto" w:frame="1"/>
                <w:lang w:val="cs-CZ" w:eastAsia="cs-CZ"/>
              </w:rPr>
              <w:t>impact area</w:t>
            </w:r>
            <w:r w:rsidRPr="00924DAC">
              <w:rPr>
                <w:rFonts w:ascii="Arial" w:eastAsia="Times New Roman" w:hAnsi="Arial" w:cs="Arial"/>
                <w:sz w:val="20"/>
                <w:szCs w:val="20"/>
                <w:lang w:val="cs-CZ" w:eastAsia="cs-CZ"/>
              </w:rPr>
              <w:t> “Climate change mitigation and adaptation”.</w:t>
            </w:r>
          </w:p>
          <w:p w14:paraId="2A9E2159" w14:textId="77777777" w:rsidR="00C743A3" w:rsidRPr="00924DAC" w:rsidRDefault="00C743A3" w:rsidP="00C743A3">
            <w:pPr>
              <w:shd w:val="clear" w:color="auto" w:fill="FFFFFF"/>
              <w:spacing w:beforeAutospacing="1" w:afterAutospacing="1"/>
              <w:rPr>
                <w:rFonts w:ascii="Arial" w:eastAsia="Times New Roman" w:hAnsi="Arial" w:cs="Arial"/>
                <w:sz w:val="20"/>
                <w:szCs w:val="20"/>
                <w:lang w:val="cs-CZ" w:eastAsia="cs-CZ"/>
              </w:rPr>
            </w:pPr>
            <w:r w:rsidRPr="00924DAC">
              <w:rPr>
                <w:rFonts w:ascii="Arial" w:eastAsia="Times New Roman" w:hAnsi="Arial" w:cs="Arial"/>
                <w:sz w:val="20"/>
                <w:szCs w:val="20"/>
                <w:lang w:val="cs-CZ" w:eastAsia="cs-CZ"/>
              </w:rPr>
              <w:t>In line with the Strategic Plan, the overall </w:t>
            </w:r>
            <w:r w:rsidRPr="00924DAC">
              <w:rPr>
                <w:rFonts w:ascii="Arial" w:eastAsia="Times New Roman" w:hAnsi="Arial" w:cs="Arial"/>
                <w:b/>
                <w:bCs/>
                <w:sz w:val="20"/>
                <w:szCs w:val="20"/>
                <w:bdr w:val="none" w:sz="0" w:space="0" w:color="auto" w:frame="1"/>
                <w:lang w:val="cs-CZ" w:eastAsia="cs-CZ"/>
              </w:rPr>
              <w:t>expected impact </w:t>
            </w:r>
            <w:r w:rsidRPr="00924DAC">
              <w:rPr>
                <w:rFonts w:ascii="Arial" w:eastAsia="Times New Roman" w:hAnsi="Arial" w:cs="Arial"/>
                <w:sz w:val="20"/>
                <w:szCs w:val="20"/>
                <w:lang w:val="cs-CZ" w:eastAsia="cs-CZ"/>
              </w:rPr>
              <w:t>of this Destination is to contribute to the </w:t>
            </w:r>
            <w:r w:rsidRPr="00924DAC">
              <w:rPr>
                <w:rFonts w:ascii="Arial" w:eastAsia="Times New Roman" w:hAnsi="Arial" w:cs="Arial"/>
                <w:i/>
                <w:iCs/>
                <w:sz w:val="20"/>
                <w:szCs w:val="20"/>
                <w:bdr w:val="none" w:sz="0" w:space="0" w:color="auto" w:frame="1"/>
                <w:lang w:val="cs-CZ" w:eastAsia="cs-CZ"/>
              </w:rPr>
              <w:t>“Transition to a climate-neutral and resilient society and economy enabled through advanced climate science, pathways and responses to climate change (mitigation and adaptation) and behavioural transformations”</w:t>
            </w:r>
            <w:r w:rsidRPr="00924DAC">
              <w:rPr>
                <w:rFonts w:ascii="Arial" w:eastAsia="Times New Roman" w:hAnsi="Arial" w:cs="Arial"/>
                <w:sz w:val="20"/>
                <w:szCs w:val="20"/>
                <w:lang w:val="cs-CZ" w:eastAsia="cs-CZ"/>
              </w:rPr>
              <w:t>, notably through:</w:t>
            </w:r>
          </w:p>
          <w:p w14:paraId="0F721725" w14:textId="77777777" w:rsidR="00C743A3" w:rsidRPr="00924DAC" w:rsidRDefault="00C743A3" w:rsidP="00C743A3">
            <w:pPr>
              <w:numPr>
                <w:ilvl w:val="0"/>
                <w:numId w:val="23"/>
              </w:numPr>
              <w:shd w:val="clear" w:color="auto" w:fill="FFFFFF"/>
              <w:spacing w:after="75"/>
              <w:ind w:left="1020"/>
              <w:rPr>
                <w:rFonts w:ascii="Arial" w:eastAsia="Times New Roman" w:hAnsi="Arial" w:cs="Arial"/>
                <w:sz w:val="20"/>
                <w:szCs w:val="20"/>
                <w:lang w:val="cs-CZ" w:eastAsia="cs-CZ"/>
              </w:rPr>
            </w:pPr>
            <w:r w:rsidRPr="00924DAC">
              <w:rPr>
                <w:rFonts w:ascii="Arial" w:eastAsia="Times New Roman" w:hAnsi="Arial" w:cs="Arial"/>
                <w:sz w:val="20"/>
                <w:szCs w:val="20"/>
                <w:lang w:val="cs-CZ" w:eastAsia="cs-CZ"/>
              </w:rPr>
              <w:t>Advancing knowledge and providing solutions in the any of following areas:</w:t>
            </w:r>
          </w:p>
          <w:p w14:paraId="26EEA8AE" w14:textId="77777777" w:rsidR="00C743A3" w:rsidRPr="00924DAC" w:rsidRDefault="00C743A3" w:rsidP="00C743A3">
            <w:pPr>
              <w:numPr>
                <w:ilvl w:val="1"/>
                <w:numId w:val="24"/>
              </w:numPr>
              <w:shd w:val="clear" w:color="auto" w:fill="FFFFFF"/>
              <w:spacing w:after="75"/>
              <w:ind w:left="2040"/>
              <w:rPr>
                <w:rFonts w:ascii="Arial" w:eastAsia="Times New Roman" w:hAnsi="Arial" w:cs="Arial"/>
                <w:sz w:val="20"/>
                <w:szCs w:val="20"/>
                <w:lang w:val="cs-CZ" w:eastAsia="cs-CZ"/>
              </w:rPr>
            </w:pPr>
            <w:r w:rsidRPr="00924DAC">
              <w:rPr>
                <w:rFonts w:ascii="Arial" w:eastAsia="Times New Roman" w:hAnsi="Arial" w:cs="Arial"/>
                <w:sz w:val="20"/>
                <w:szCs w:val="20"/>
                <w:lang w:val="cs-CZ" w:eastAsia="cs-CZ"/>
              </w:rPr>
              <w:t>Earth system science;</w:t>
            </w:r>
          </w:p>
          <w:p w14:paraId="2CC9E491" w14:textId="77777777" w:rsidR="00C743A3" w:rsidRPr="00924DAC" w:rsidRDefault="00C743A3" w:rsidP="00C743A3">
            <w:pPr>
              <w:numPr>
                <w:ilvl w:val="1"/>
                <w:numId w:val="25"/>
              </w:numPr>
              <w:shd w:val="clear" w:color="auto" w:fill="FFFFFF"/>
              <w:spacing w:after="75"/>
              <w:ind w:left="2040"/>
              <w:rPr>
                <w:rFonts w:ascii="Arial" w:eastAsia="Times New Roman" w:hAnsi="Arial" w:cs="Arial"/>
                <w:sz w:val="20"/>
                <w:szCs w:val="20"/>
                <w:lang w:val="cs-CZ" w:eastAsia="cs-CZ"/>
              </w:rPr>
            </w:pPr>
            <w:r w:rsidRPr="00924DAC">
              <w:rPr>
                <w:rFonts w:ascii="Arial" w:eastAsia="Times New Roman" w:hAnsi="Arial" w:cs="Arial"/>
                <w:sz w:val="20"/>
                <w:szCs w:val="20"/>
                <w:lang w:val="cs-CZ" w:eastAsia="cs-CZ"/>
              </w:rPr>
              <w:t>Pathways to climate neutrality;</w:t>
            </w:r>
          </w:p>
          <w:p w14:paraId="585261D8" w14:textId="77777777" w:rsidR="00C743A3" w:rsidRPr="00924DAC" w:rsidRDefault="00C743A3" w:rsidP="00C743A3">
            <w:pPr>
              <w:numPr>
                <w:ilvl w:val="1"/>
                <w:numId w:val="26"/>
              </w:numPr>
              <w:shd w:val="clear" w:color="auto" w:fill="FFFFFF"/>
              <w:spacing w:after="75"/>
              <w:ind w:left="2040"/>
              <w:rPr>
                <w:rFonts w:ascii="Arial" w:eastAsia="Times New Roman" w:hAnsi="Arial" w:cs="Arial"/>
                <w:sz w:val="20"/>
                <w:szCs w:val="20"/>
                <w:lang w:val="cs-CZ" w:eastAsia="cs-CZ"/>
              </w:rPr>
            </w:pPr>
            <w:r w:rsidRPr="00924DAC">
              <w:rPr>
                <w:rFonts w:ascii="Arial" w:eastAsia="Times New Roman" w:hAnsi="Arial" w:cs="Arial"/>
                <w:sz w:val="20"/>
                <w:szCs w:val="20"/>
                <w:lang w:val="cs-CZ" w:eastAsia="cs-CZ"/>
              </w:rPr>
              <w:t>Climate change adaptation;</w:t>
            </w:r>
          </w:p>
          <w:p w14:paraId="6B808D22" w14:textId="77777777" w:rsidR="00C743A3" w:rsidRPr="00924DAC" w:rsidRDefault="00C743A3" w:rsidP="00C743A3">
            <w:pPr>
              <w:numPr>
                <w:ilvl w:val="1"/>
                <w:numId w:val="27"/>
              </w:numPr>
              <w:shd w:val="clear" w:color="auto" w:fill="FFFFFF"/>
              <w:spacing w:after="75"/>
              <w:ind w:left="2040"/>
              <w:rPr>
                <w:rFonts w:ascii="Arial" w:eastAsia="Times New Roman" w:hAnsi="Arial" w:cs="Arial"/>
                <w:sz w:val="20"/>
                <w:szCs w:val="20"/>
                <w:lang w:val="cs-CZ" w:eastAsia="cs-CZ"/>
              </w:rPr>
            </w:pPr>
            <w:r w:rsidRPr="00924DAC">
              <w:rPr>
                <w:rFonts w:ascii="Arial" w:eastAsia="Times New Roman" w:hAnsi="Arial" w:cs="Arial"/>
                <w:sz w:val="20"/>
                <w:szCs w:val="20"/>
                <w:lang w:val="cs-CZ" w:eastAsia="cs-CZ"/>
              </w:rPr>
              <w:t>Climate services;</w:t>
            </w:r>
          </w:p>
          <w:p w14:paraId="3DB3403F" w14:textId="77777777" w:rsidR="00C743A3" w:rsidRPr="00924DAC" w:rsidRDefault="00C743A3" w:rsidP="00C743A3">
            <w:pPr>
              <w:numPr>
                <w:ilvl w:val="1"/>
                <w:numId w:val="28"/>
              </w:numPr>
              <w:shd w:val="clear" w:color="auto" w:fill="FFFFFF"/>
              <w:spacing w:after="75"/>
              <w:ind w:left="2040"/>
              <w:rPr>
                <w:rFonts w:ascii="Arial" w:eastAsia="Times New Roman" w:hAnsi="Arial" w:cs="Arial"/>
                <w:sz w:val="20"/>
                <w:szCs w:val="20"/>
                <w:lang w:val="cs-CZ" w:eastAsia="cs-CZ"/>
              </w:rPr>
            </w:pPr>
            <w:r w:rsidRPr="00924DAC">
              <w:rPr>
                <w:rFonts w:ascii="Arial" w:eastAsia="Times New Roman" w:hAnsi="Arial" w:cs="Arial"/>
                <w:sz w:val="20"/>
                <w:szCs w:val="20"/>
                <w:lang w:val="cs-CZ" w:eastAsia="cs-CZ"/>
              </w:rPr>
              <w:t>Social science for climate action; and</w:t>
            </w:r>
          </w:p>
          <w:p w14:paraId="20B48422" w14:textId="77777777" w:rsidR="00C743A3" w:rsidRPr="00924DAC" w:rsidRDefault="00C743A3" w:rsidP="00C743A3">
            <w:pPr>
              <w:numPr>
                <w:ilvl w:val="1"/>
                <w:numId w:val="29"/>
              </w:numPr>
              <w:shd w:val="clear" w:color="auto" w:fill="FFFFFF"/>
              <w:spacing w:after="75"/>
              <w:ind w:left="2040"/>
              <w:rPr>
                <w:rFonts w:ascii="Arial" w:eastAsia="Times New Roman" w:hAnsi="Arial" w:cs="Arial"/>
                <w:sz w:val="20"/>
                <w:szCs w:val="20"/>
                <w:lang w:val="cs-CZ" w:eastAsia="cs-CZ"/>
              </w:rPr>
            </w:pPr>
            <w:r w:rsidRPr="00924DAC">
              <w:rPr>
                <w:rFonts w:ascii="Arial" w:eastAsia="Times New Roman" w:hAnsi="Arial" w:cs="Arial"/>
                <w:sz w:val="20"/>
                <w:szCs w:val="20"/>
                <w:lang w:val="cs-CZ" w:eastAsia="cs-CZ"/>
              </w:rPr>
              <w:t>Better understanding of climate-ecosystems interactions.</w:t>
            </w:r>
          </w:p>
          <w:p w14:paraId="483DDE9F" w14:textId="77777777" w:rsidR="00C743A3" w:rsidRPr="00924DAC" w:rsidRDefault="00C743A3" w:rsidP="00C743A3">
            <w:pPr>
              <w:numPr>
                <w:ilvl w:val="0"/>
                <w:numId w:val="23"/>
              </w:numPr>
              <w:shd w:val="clear" w:color="auto" w:fill="FFFFFF"/>
              <w:spacing w:after="75"/>
              <w:ind w:left="1020"/>
              <w:rPr>
                <w:rFonts w:ascii="Arial" w:eastAsia="Times New Roman" w:hAnsi="Arial" w:cs="Arial"/>
                <w:sz w:val="20"/>
                <w:szCs w:val="20"/>
                <w:lang w:val="cs-CZ" w:eastAsia="cs-CZ"/>
              </w:rPr>
            </w:pPr>
            <w:r w:rsidRPr="00924DAC">
              <w:rPr>
                <w:rFonts w:ascii="Arial" w:eastAsia="Times New Roman" w:hAnsi="Arial" w:cs="Arial"/>
                <w:sz w:val="20"/>
                <w:szCs w:val="20"/>
                <w:lang w:val="cs-CZ" w:eastAsia="cs-CZ"/>
              </w:rPr>
              <w:t>Contributing substantially to key international assessments such as those of the Intergovernmental Panel on Climate Change (IPCC), the Intergovernmental Science-Policy Platform on Biodiversity and Ecosystem Services (IPBES) or the European Environment Agency (e.g. European environment - state and outlook reports, SOER).</w:t>
            </w:r>
          </w:p>
          <w:p w14:paraId="0892648A" w14:textId="77777777" w:rsidR="00C743A3" w:rsidRPr="00924DAC" w:rsidRDefault="00C743A3" w:rsidP="00C743A3">
            <w:pPr>
              <w:numPr>
                <w:ilvl w:val="0"/>
                <w:numId w:val="23"/>
              </w:numPr>
              <w:shd w:val="clear" w:color="auto" w:fill="FFFFFF"/>
              <w:spacing w:after="75"/>
              <w:ind w:left="1020"/>
              <w:rPr>
                <w:rFonts w:ascii="Arial" w:eastAsia="Times New Roman" w:hAnsi="Arial" w:cs="Arial"/>
                <w:sz w:val="20"/>
                <w:szCs w:val="20"/>
                <w:lang w:val="cs-CZ" w:eastAsia="cs-CZ"/>
              </w:rPr>
            </w:pPr>
            <w:r w:rsidRPr="00924DAC">
              <w:rPr>
                <w:rFonts w:ascii="Arial" w:eastAsia="Times New Roman" w:hAnsi="Arial" w:cs="Arial"/>
                <w:sz w:val="20"/>
                <w:szCs w:val="20"/>
                <w:lang w:val="cs-CZ" w:eastAsia="cs-CZ"/>
              </w:rPr>
              <w:t>Strengthening the European Research Area on climate change.</w:t>
            </w:r>
          </w:p>
          <w:p w14:paraId="7327AF63" w14:textId="77777777" w:rsidR="00C743A3" w:rsidRPr="00924DAC" w:rsidRDefault="00C743A3" w:rsidP="00C743A3">
            <w:pPr>
              <w:numPr>
                <w:ilvl w:val="0"/>
                <w:numId w:val="23"/>
              </w:numPr>
              <w:shd w:val="clear" w:color="auto" w:fill="FFFFFF"/>
              <w:spacing w:after="75"/>
              <w:ind w:left="1020"/>
              <w:rPr>
                <w:rFonts w:ascii="Arial" w:eastAsia="Times New Roman" w:hAnsi="Arial" w:cs="Arial"/>
                <w:sz w:val="20"/>
                <w:szCs w:val="20"/>
                <w:lang w:val="cs-CZ" w:eastAsia="cs-CZ"/>
              </w:rPr>
            </w:pPr>
            <w:r w:rsidRPr="00924DAC">
              <w:rPr>
                <w:rFonts w:ascii="Arial" w:eastAsia="Times New Roman" w:hAnsi="Arial" w:cs="Arial"/>
                <w:sz w:val="20"/>
                <w:szCs w:val="20"/>
                <w:lang w:val="cs-CZ" w:eastAsia="cs-CZ"/>
              </w:rPr>
              <w:t>Increasing the transparency, robustness, trustworthiness and practical usability of the knowledge base on climate change for use by policy makers, practitioners, other stakeholders and citizens.</w:t>
            </w:r>
          </w:p>
          <w:p w14:paraId="54805E14" w14:textId="77777777" w:rsidR="00C743A3" w:rsidRPr="00924DAC" w:rsidRDefault="00C743A3" w:rsidP="00C743A3">
            <w:pPr>
              <w:shd w:val="clear" w:color="auto" w:fill="FFFFFF"/>
              <w:spacing w:before="100" w:beforeAutospacing="1" w:after="100" w:afterAutospacing="1"/>
              <w:rPr>
                <w:rFonts w:ascii="Arial" w:eastAsia="Times New Roman" w:hAnsi="Arial" w:cs="Arial"/>
                <w:sz w:val="20"/>
                <w:szCs w:val="20"/>
                <w:lang w:val="cs-CZ" w:eastAsia="cs-CZ"/>
              </w:rPr>
            </w:pPr>
            <w:r w:rsidRPr="00924DAC">
              <w:rPr>
                <w:rFonts w:ascii="Arial" w:eastAsia="Times New Roman" w:hAnsi="Arial" w:cs="Arial"/>
                <w:sz w:val="20"/>
                <w:szCs w:val="20"/>
                <w:lang w:val="cs-CZ" w:eastAsia="cs-CZ"/>
              </w:rPr>
              <w:t>Coordination and synergies should be fostered between activities supported under this destination and those under other destinations of cluster 5, as well as with other clusters of Horizon Europe.</w:t>
            </w:r>
          </w:p>
          <w:p w14:paraId="5BA5FB82" w14:textId="77777777" w:rsidR="00C743A3" w:rsidRPr="00924DAC" w:rsidRDefault="00C743A3" w:rsidP="00C743A3">
            <w:pPr>
              <w:shd w:val="clear" w:color="auto" w:fill="FFFFFF"/>
              <w:spacing w:before="100" w:beforeAutospacing="1" w:after="100" w:afterAutospacing="1"/>
              <w:rPr>
                <w:rFonts w:ascii="Arial" w:eastAsia="Times New Roman" w:hAnsi="Arial" w:cs="Arial"/>
                <w:sz w:val="20"/>
                <w:szCs w:val="20"/>
                <w:lang w:val="cs-CZ" w:eastAsia="cs-CZ"/>
              </w:rPr>
            </w:pPr>
            <w:r w:rsidRPr="00924DAC">
              <w:rPr>
                <w:rFonts w:ascii="Arial" w:eastAsia="Times New Roman" w:hAnsi="Arial" w:cs="Arial"/>
                <w:sz w:val="20"/>
                <w:szCs w:val="20"/>
                <w:lang w:val="cs-CZ" w:eastAsia="cs-CZ"/>
              </w:rPr>
              <w:t>In particular, complementarities with cluster 4 and cluster 6 should be taken into account by planning for adequate resources for co-ordination and clustering activities. Following a systemic approach, this destination concentrates on activities related to climate science and modelling, whereas cluster 4 supports activities in the area of low-carbon and circular industry, and cluster 6 contributes to R&amp;I on the implementation of climate change mitigation and adaptation solutions in the areas covered by cluster 6 (notably Intervention Area (IA) 1 on biodiversity and nature-based solutions (NBS), Earth observation, IA 4 on seas, oceans and inland waters…).</w:t>
            </w:r>
          </w:p>
          <w:p w14:paraId="09AE86B1" w14:textId="77777777" w:rsidR="00C743A3" w:rsidRPr="00924DAC" w:rsidRDefault="00C743A3" w:rsidP="00C743A3">
            <w:pPr>
              <w:shd w:val="clear" w:color="auto" w:fill="FFFFFF"/>
              <w:spacing w:before="100" w:beforeAutospacing="1" w:after="100" w:afterAutospacing="1"/>
              <w:rPr>
                <w:rFonts w:ascii="Arial" w:eastAsia="Times New Roman" w:hAnsi="Arial" w:cs="Arial"/>
                <w:sz w:val="20"/>
                <w:szCs w:val="20"/>
                <w:lang w:val="cs-CZ" w:eastAsia="cs-CZ"/>
              </w:rPr>
            </w:pPr>
            <w:r w:rsidRPr="00924DAC">
              <w:rPr>
                <w:rFonts w:ascii="Arial" w:eastAsia="Times New Roman" w:hAnsi="Arial" w:cs="Arial"/>
                <w:sz w:val="20"/>
                <w:szCs w:val="20"/>
                <w:lang w:val="cs-CZ" w:eastAsia="cs-CZ"/>
              </w:rPr>
              <w:t>Coordination and synergies are also encouraged with the activities funded under the work programmes on the Horizon Europe missions, in particular the Mission “Adaptation to Climate Change”, the Mission “Climate Neutral and Smart Cities” and the Mission “Restore our Ocean and Waters by 2030”. While this destination supports upstream research activities on climate science, the Missions focus on the testing, demonstration and scale up of solutions to address the challenges of climate change and environmental degradation.</w:t>
            </w:r>
          </w:p>
          <w:p w14:paraId="0771ED53" w14:textId="77777777" w:rsidR="00C743A3" w:rsidRPr="00924DAC" w:rsidRDefault="00C743A3" w:rsidP="00C743A3">
            <w:pPr>
              <w:shd w:val="clear" w:color="auto" w:fill="FFFFFF"/>
              <w:spacing w:before="100" w:beforeAutospacing="1" w:after="100" w:afterAutospacing="1"/>
              <w:rPr>
                <w:rFonts w:ascii="Arial" w:eastAsia="Times New Roman" w:hAnsi="Arial" w:cs="Arial"/>
                <w:sz w:val="20"/>
                <w:szCs w:val="20"/>
                <w:lang w:val="cs-CZ" w:eastAsia="cs-CZ"/>
              </w:rPr>
            </w:pPr>
            <w:r w:rsidRPr="00924DAC">
              <w:rPr>
                <w:rFonts w:ascii="Arial" w:eastAsia="Times New Roman" w:hAnsi="Arial" w:cs="Arial"/>
                <w:sz w:val="20"/>
                <w:szCs w:val="20"/>
                <w:lang w:val="cs-CZ" w:eastAsia="cs-CZ"/>
              </w:rPr>
              <w:t>Actions should envisage clustering activities with other relevant ongoing and selected projects for cross-projects cooperation, consultations and joint activities on crosscutting issues and share of results, as well as participating in joint meetings and communication events. To this end, proposals should foresee a dedicated work package and/or task and earmark the appropriate resources accordingly.</w:t>
            </w:r>
          </w:p>
          <w:p w14:paraId="38AA4565" w14:textId="77777777" w:rsidR="00C743A3" w:rsidRPr="00924DAC" w:rsidRDefault="00C743A3" w:rsidP="00C743A3">
            <w:pPr>
              <w:shd w:val="clear" w:color="auto" w:fill="FFFFFF"/>
              <w:spacing w:before="100" w:beforeAutospacing="1" w:after="100" w:afterAutospacing="1"/>
              <w:rPr>
                <w:rFonts w:ascii="Arial" w:eastAsia="Times New Roman" w:hAnsi="Arial" w:cs="Arial"/>
                <w:sz w:val="20"/>
                <w:szCs w:val="20"/>
                <w:lang w:val="cs-CZ" w:eastAsia="cs-CZ"/>
              </w:rPr>
            </w:pPr>
            <w:r w:rsidRPr="00924DAC">
              <w:rPr>
                <w:rFonts w:ascii="Arial" w:eastAsia="Times New Roman" w:hAnsi="Arial" w:cs="Arial"/>
                <w:sz w:val="20"/>
                <w:szCs w:val="20"/>
                <w:lang w:val="cs-CZ" w:eastAsia="cs-CZ"/>
              </w:rPr>
              <w:lastRenderedPageBreak/>
              <w:t>Synergies are also sought throughout this destination with the work of the European Space Agency (ESA), in order to ensure complementarity and mutual benefit regarding research and innovation actions conducted at the ESA.</w:t>
            </w:r>
          </w:p>
          <w:p w14:paraId="44C0E961" w14:textId="72A023E1" w:rsidR="00CA6627" w:rsidRPr="00924DAC" w:rsidRDefault="00CA6627" w:rsidP="00745252">
            <w:pPr>
              <w:rPr>
                <w:rFonts w:ascii="Arial" w:hAnsi="Arial" w:cs="Arial"/>
                <w:sz w:val="20"/>
                <w:szCs w:val="20"/>
              </w:rPr>
            </w:pPr>
          </w:p>
        </w:tc>
      </w:tr>
      <w:tr w:rsidR="00C743A3" w:rsidRPr="00360080" w14:paraId="7A6C0203" w14:textId="77777777" w:rsidTr="00B80ACE">
        <w:tc>
          <w:tcPr>
            <w:tcW w:w="1413" w:type="dxa"/>
          </w:tcPr>
          <w:p w14:paraId="7311AAC4" w14:textId="45EF8B7F" w:rsidR="00C743A3" w:rsidRPr="00360080" w:rsidRDefault="00C743A3" w:rsidP="00060D35">
            <w:pPr>
              <w:rPr>
                <w:rFonts w:ascii="Arial" w:hAnsi="Arial" w:cs="Arial"/>
                <w:sz w:val="20"/>
                <w:szCs w:val="20"/>
              </w:rPr>
            </w:pPr>
            <w:r w:rsidRPr="00360080">
              <w:rPr>
                <w:rFonts w:ascii="Arial" w:hAnsi="Arial" w:cs="Arial"/>
                <w:sz w:val="20"/>
                <w:szCs w:val="20"/>
              </w:rPr>
              <w:lastRenderedPageBreak/>
              <w:t>Scope</w:t>
            </w:r>
          </w:p>
        </w:tc>
        <w:tc>
          <w:tcPr>
            <w:tcW w:w="8781" w:type="dxa"/>
          </w:tcPr>
          <w:p w14:paraId="588B6F83" w14:textId="77777777" w:rsidR="00C743A3" w:rsidRPr="00360080" w:rsidRDefault="00C743A3" w:rsidP="00C743A3">
            <w:pPr>
              <w:shd w:val="clear" w:color="auto" w:fill="FFFFFF"/>
              <w:spacing w:before="100" w:beforeAutospacing="1" w:after="100" w:afterAutospacing="1"/>
              <w:rPr>
                <w:rFonts w:ascii="Arial" w:eastAsia="Times New Roman" w:hAnsi="Arial" w:cs="Arial"/>
                <w:color w:val="333333"/>
                <w:sz w:val="20"/>
                <w:szCs w:val="20"/>
                <w:lang w:val="cs-CZ" w:eastAsia="cs-CZ"/>
              </w:rPr>
            </w:pPr>
            <w:r w:rsidRPr="00360080">
              <w:rPr>
                <w:rFonts w:ascii="Arial" w:eastAsia="Times New Roman" w:hAnsi="Arial" w:cs="Arial"/>
                <w:color w:val="333333"/>
                <w:sz w:val="20"/>
                <w:szCs w:val="20"/>
                <w:lang w:val="cs-CZ" w:eastAsia="cs-CZ"/>
              </w:rPr>
              <w:t>The EU and its Member States have invested massively in Earth Observation (EO), for example with the Copernicus Programme, the development of climate and Earth System Models (ESMs), and their contribution to the implementation of Global Earth Observation System of Systems (GEOSS), which are yielding unprecedented volumes of data. This topic aims at spurring the exploitation of these assets through advanced data technologies, including artificial intelligence techniques like machine learning or explainability, or new statistical approaches based on the cooperation between “big data” engineers, EO specialists and climate scientists.</w:t>
            </w:r>
          </w:p>
          <w:p w14:paraId="7841D5B2" w14:textId="77777777" w:rsidR="00C743A3" w:rsidRPr="00360080" w:rsidRDefault="00C743A3" w:rsidP="00C743A3">
            <w:pPr>
              <w:shd w:val="clear" w:color="auto" w:fill="FFFFFF"/>
              <w:spacing w:before="100" w:beforeAutospacing="1" w:after="100" w:afterAutospacing="1"/>
              <w:rPr>
                <w:rFonts w:ascii="Arial" w:eastAsia="Times New Roman" w:hAnsi="Arial" w:cs="Arial"/>
                <w:color w:val="333333"/>
                <w:sz w:val="20"/>
                <w:szCs w:val="20"/>
                <w:lang w:val="cs-CZ" w:eastAsia="cs-CZ"/>
              </w:rPr>
            </w:pPr>
            <w:r w:rsidRPr="00360080">
              <w:rPr>
                <w:rFonts w:ascii="Arial" w:eastAsia="Times New Roman" w:hAnsi="Arial" w:cs="Arial"/>
                <w:color w:val="333333"/>
                <w:sz w:val="20"/>
                <w:szCs w:val="20"/>
                <w:lang w:val="cs-CZ" w:eastAsia="cs-CZ"/>
              </w:rPr>
              <w:t>Actions should create new insights in key processes of the Earth system and improve climate predictions based on advanced exploitation of EO data and their appropriate integration in existing or new data assimilation or modelling approaches. The activities should also lead to improved evaluation tools to facilitate the analysis of ESMs by developing new process-oriented diagnostics to better understand remaining biases and drifts, or unresolved processes or coupling in models, and improve model parameterisation and tuning. Actions should develop new tools or approaches to increase the efficiency (i.e. speed) in analysing model outputs to facilitate the study of such vast amounts of data. Actions should also distil more tailored, usable and reliable information from models and observations for assessing risks caused by extreme weather and climate events in Europe in the coming decades and contribute to an improved detection of climate change on varying space and time scales.</w:t>
            </w:r>
          </w:p>
          <w:p w14:paraId="10AFF717" w14:textId="77777777" w:rsidR="00C743A3" w:rsidRPr="00360080" w:rsidRDefault="00C743A3" w:rsidP="00C743A3">
            <w:pPr>
              <w:shd w:val="clear" w:color="auto" w:fill="FFFFFF"/>
              <w:spacing w:beforeAutospacing="1" w:afterAutospacing="1"/>
              <w:rPr>
                <w:rFonts w:ascii="Arial" w:eastAsia="Times New Roman" w:hAnsi="Arial" w:cs="Arial"/>
                <w:color w:val="333333"/>
                <w:sz w:val="20"/>
                <w:szCs w:val="20"/>
                <w:lang w:val="cs-CZ" w:eastAsia="cs-CZ"/>
              </w:rPr>
            </w:pPr>
            <w:r w:rsidRPr="00360080">
              <w:rPr>
                <w:rFonts w:ascii="Arial" w:eastAsia="Times New Roman" w:hAnsi="Arial" w:cs="Arial"/>
                <w:color w:val="333333"/>
                <w:sz w:val="20"/>
                <w:szCs w:val="20"/>
                <w:lang w:val="cs-CZ" w:eastAsia="cs-CZ"/>
              </w:rPr>
              <w:t>Actions should build on the results of, and cooperate with, past and ongoing scientific research related to EO and ESMs</w:t>
            </w:r>
            <w:hyperlink r:id="rId12" w:anchor="fn1" w:tgtFrame="_self" w:history="1">
              <w:r w:rsidRPr="00360080">
                <w:rPr>
                  <w:rFonts w:ascii="Arial" w:eastAsia="Times New Roman" w:hAnsi="Arial" w:cs="Arial"/>
                  <w:color w:val="004494"/>
                  <w:sz w:val="20"/>
                  <w:szCs w:val="20"/>
                  <w:u w:val="single"/>
                  <w:bdr w:val="none" w:sz="0" w:space="0" w:color="auto" w:frame="1"/>
                  <w:vertAlign w:val="superscript"/>
                  <w:lang w:val="cs-CZ" w:eastAsia="cs-CZ"/>
                </w:rPr>
                <w:t>[1]</w:t>
              </w:r>
            </w:hyperlink>
            <w:r w:rsidRPr="00360080">
              <w:rPr>
                <w:rFonts w:ascii="Arial" w:eastAsia="Times New Roman" w:hAnsi="Arial" w:cs="Arial"/>
                <w:color w:val="333333"/>
                <w:sz w:val="20"/>
                <w:szCs w:val="20"/>
                <w:lang w:val="cs-CZ" w:eastAsia="cs-CZ"/>
              </w:rPr>
              <w:t>, as well as adaptation strategies at global and regional levels, e.g. the science base supporting the Copernicus Services, ESA data cubes, the relevant action within the GEO multiannual WP, the EuroHPC JU investments in HPC capabilities or Destination Earth.</w:t>
            </w:r>
          </w:p>
          <w:p w14:paraId="07D11053" w14:textId="5759AEF0" w:rsidR="00C743A3" w:rsidRPr="00360080" w:rsidRDefault="00C743A3" w:rsidP="00C743A3">
            <w:pPr>
              <w:shd w:val="clear" w:color="auto" w:fill="FFFFFF"/>
              <w:spacing w:beforeAutospacing="1" w:afterAutospacing="1"/>
              <w:rPr>
                <w:rFonts w:ascii="Arial" w:eastAsia="Times New Roman" w:hAnsi="Arial" w:cs="Arial"/>
                <w:color w:val="333333"/>
                <w:sz w:val="20"/>
                <w:szCs w:val="20"/>
                <w:lang w:val="cs-CZ" w:eastAsia="cs-CZ"/>
              </w:rPr>
            </w:pPr>
            <w:r w:rsidRPr="00360080">
              <w:rPr>
                <w:rFonts w:ascii="Arial" w:eastAsia="Times New Roman" w:hAnsi="Arial" w:cs="Arial"/>
                <w:color w:val="333333"/>
                <w:sz w:val="20"/>
                <w:szCs w:val="20"/>
                <w:lang w:val="cs-CZ" w:eastAsia="cs-CZ"/>
              </w:rPr>
              <w:t>When dealing with models, actions should promote the highest standards of transparency and openness, going well beyond documentation, as much as possible, and extending to aspects, such as assumptions, code and data that is managed in compliance with the FAIR principles</w:t>
            </w:r>
            <w:hyperlink r:id="rId13" w:anchor="fn2" w:tgtFrame="_self" w:history="1">
              <w:r w:rsidRPr="00360080">
                <w:rPr>
                  <w:rFonts w:ascii="Arial" w:eastAsia="Times New Roman" w:hAnsi="Arial" w:cs="Arial"/>
                  <w:color w:val="004494"/>
                  <w:sz w:val="20"/>
                  <w:szCs w:val="20"/>
                  <w:u w:val="single"/>
                  <w:bdr w:val="none" w:sz="0" w:space="0" w:color="auto" w:frame="1"/>
                  <w:vertAlign w:val="superscript"/>
                  <w:lang w:val="cs-CZ" w:eastAsia="cs-CZ"/>
                </w:rPr>
                <w:t>[2]</w:t>
              </w:r>
            </w:hyperlink>
            <w:r w:rsidRPr="00360080">
              <w:rPr>
                <w:rFonts w:ascii="Arial" w:eastAsia="Times New Roman" w:hAnsi="Arial" w:cs="Arial"/>
                <w:color w:val="333333"/>
                <w:sz w:val="20"/>
                <w:szCs w:val="20"/>
                <w:lang w:val="cs-CZ" w:eastAsia="cs-CZ"/>
              </w:rPr>
              <w:t>. In particular, beneficiaries of EU funding are required to publish results data in open access repositories and/or as annexes to publications, and provide full openness of any new modules, models or tools developed from scratch or substantially improved. Projects should take into account, during their lifetime, relevant activities and initiatives for ensuring and improving the quality of scientific software and code, such as those resulting from projects funded under the topic HORIZON-INFRA-2023-EOSC-01-02 on the development of community-based approaches.</w:t>
            </w:r>
          </w:p>
        </w:tc>
      </w:tr>
      <w:tr w:rsidR="00F662F9" w:rsidRPr="00360080" w14:paraId="56D9BD85" w14:textId="77777777" w:rsidTr="00B80ACE">
        <w:tc>
          <w:tcPr>
            <w:tcW w:w="1413" w:type="dxa"/>
          </w:tcPr>
          <w:p w14:paraId="43B7D2DC" w14:textId="042E5E8F" w:rsidR="00837D57" w:rsidRPr="00360080" w:rsidRDefault="00C743A3" w:rsidP="00060D35">
            <w:pPr>
              <w:rPr>
                <w:rFonts w:ascii="Arial" w:hAnsi="Arial" w:cs="Arial"/>
                <w:sz w:val="20"/>
                <w:szCs w:val="20"/>
              </w:rPr>
            </w:pPr>
            <w:r w:rsidRPr="00360080">
              <w:rPr>
                <w:rFonts w:ascii="Arial" w:hAnsi="Arial" w:cs="Arial"/>
                <w:sz w:val="20"/>
                <w:szCs w:val="20"/>
              </w:rPr>
              <w:t>Research area</w:t>
            </w:r>
          </w:p>
        </w:tc>
        <w:tc>
          <w:tcPr>
            <w:tcW w:w="8781" w:type="dxa"/>
          </w:tcPr>
          <w:p w14:paraId="7E21196F" w14:textId="40A67F31" w:rsidR="00837D57" w:rsidRPr="00360080" w:rsidRDefault="00046CE8" w:rsidP="00C81B6A">
            <w:pPr>
              <w:rPr>
                <w:rFonts w:ascii="Arial" w:hAnsi="Arial" w:cs="Arial"/>
                <w:color w:val="D9D9D9" w:themeColor="background1" w:themeShade="D9"/>
                <w:sz w:val="20"/>
                <w:szCs w:val="20"/>
              </w:rPr>
            </w:pPr>
            <w:r w:rsidRPr="00360080">
              <w:rPr>
                <w:rFonts w:ascii="Arial" w:hAnsi="Arial" w:cs="Arial"/>
                <w:sz w:val="20"/>
                <w:szCs w:val="20"/>
              </w:rPr>
              <w:t>Climate change adaptation, model development</w:t>
            </w:r>
          </w:p>
        </w:tc>
      </w:tr>
      <w:tr w:rsidR="00F662F9" w:rsidRPr="00360080" w14:paraId="092B5D39" w14:textId="77777777" w:rsidTr="00B80ACE">
        <w:tc>
          <w:tcPr>
            <w:tcW w:w="1413" w:type="dxa"/>
          </w:tcPr>
          <w:p w14:paraId="7A487D71" w14:textId="77777777" w:rsidR="00837D57" w:rsidRPr="00360080" w:rsidRDefault="00837D57" w:rsidP="002311BF">
            <w:pPr>
              <w:rPr>
                <w:rFonts w:ascii="Arial" w:hAnsi="Arial" w:cs="Arial"/>
                <w:sz w:val="20"/>
                <w:szCs w:val="20"/>
              </w:rPr>
            </w:pPr>
            <w:r w:rsidRPr="00360080">
              <w:rPr>
                <w:rFonts w:ascii="Arial" w:hAnsi="Arial" w:cs="Arial"/>
                <w:sz w:val="20"/>
                <w:szCs w:val="20"/>
              </w:rPr>
              <w:t>Expected outputs</w:t>
            </w:r>
          </w:p>
        </w:tc>
        <w:tc>
          <w:tcPr>
            <w:tcW w:w="8781" w:type="dxa"/>
          </w:tcPr>
          <w:p w14:paraId="7B716A72" w14:textId="77777777" w:rsidR="00CA6627" w:rsidRPr="00360080" w:rsidRDefault="00CA6627" w:rsidP="00CA6627">
            <w:pPr>
              <w:shd w:val="clear" w:color="auto" w:fill="FFFFFF"/>
              <w:spacing w:beforeAutospacing="1" w:afterAutospacing="1"/>
              <w:rPr>
                <w:rFonts w:ascii="Arial" w:eastAsia="Times New Roman" w:hAnsi="Arial" w:cs="Arial"/>
                <w:color w:val="333333"/>
                <w:sz w:val="20"/>
                <w:szCs w:val="20"/>
                <w:lang w:val="cs-CZ" w:eastAsia="cs-CZ"/>
              </w:rPr>
            </w:pPr>
            <w:r w:rsidRPr="00360080">
              <w:rPr>
                <w:rFonts w:ascii="Arial" w:eastAsia="Times New Roman" w:hAnsi="Arial" w:cs="Arial"/>
                <w:color w:val="333333"/>
                <w:sz w:val="20"/>
                <w:szCs w:val="20"/>
                <w:lang w:val="cs-CZ" w:eastAsia="cs-CZ"/>
              </w:rPr>
              <w:t>Projects results are expected to contribute to </w:t>
            </w:r>
            <w:r w:rsidRPr="00360080">
              <w:rPr>
                <w:rFonts w:ascii="Arial" w:eastAsia="Times New Roman" w:hAnsi="Arial" w:cs="Arial"/>
                <w:b/>
                <w:bCs/>
                <w:color w:val="333333"/>
                <w:sz w:val="20"/>
                <w:szCs w:val="20"/>
                <w:bdr w:val="none" w:sz="0" w:space="0" w:color="auto" w:frame="1"/>
                <w:lang w:val="cs-CZ" w:eastAsia="cs-CZ"/>
              </w:rPr>
              <w:t>all of the</w:t>
            </w:r>
            <w:r w:rsidRPr="00360080">
              <w:rPr>
                <w:rFonts w:ascii="Arial" w:eastAsia="Times New Roman" w:hAnsi="Arial" w:cs="Arial"/>
                <w:color w:val="333333"/>
                <w:sz w:val="20"/>
                <w:szCs w:val="20"/>
                <w:lang w:val="cs-CZ" w:eastAsia="cs-CZ"/>
              </w:rPr>
              <w:t> following expected outcomes:</w:t>
            </w:r>
          </w:p>
          <w:p w14:paraId="490DA301" w14:textId="77777777" w:rsidR="00CA6627" w:rsidRPr="00360080" w:rsidRDefault="00CA6627" w:rsidP="00CA6627">
            <w:pPr>
              <w:numPr>
                <w:ilvl w:val="0"/>
                <w:numId w:val="17"/>
              </w:numPr>
              <w:shd w:val="clear" w:color="auto" w:fill="FFFFFF"/>
              <w:spacing w:after="75"/>
              <w:ind w:left="1020"/>
              <w:rPr>
                <w:rFonts w:ascii="Arial" w:eastAsia="Times New Roman" w:hAnsi="Arial" w:cs="Arial"/>
                <w:color w:val="333333"/>
                <w:sz w:val="20"/>
                <w:szCs w:val="20"/>
                <w:lang w:val="cs-CZ" w:eastAsia="cs-CZ"/>
              </w:rPr>
            </w:pPr>
            <w:r w:rsidRPr="00360080">
              <w:rPr>
                <w:rFonts w:ascii="Arial" w:eastAsia="Times New Roman" w:hAnsi="Arial" w:cs="Arial"/>
                <w:color w:val="333333"/>
                <w:sz w:val="20"/>
                <w:szCs w:val="20"/>
                <w:lang w:val="cs-CZ" w:eastAsia="cs-CZ"/>
              </w:rPr>
              <w:t>Support to the implementation of the EU Strategy on Adaptation to Climate Change and the Mission on Adaptation to Climate Change, by enabling better informed adaptation plans and strategies at the regional and local level.</w:t>
            </w:r>
          </w:p>
          <w:p w14:paraId="2B33467D" w14:textId="77777777" w:rsidR="00CA6627" w:rsidRPr="00360080" w:rsidRDefault="00CA6627" w:rsidP="00CA6627">
            <w:pPr>
              <w:numPr>
                <w:ilvl w:val="0"/>
                <w:numId w:val="17"/>
              </w:numPr>
              <w:shd w:val="clear" w:color="auto" w:fill="FFFFFF"/>
              <w:spacing w:after="75"/>
              <w:ind w:left="1020"/>
              <w:rPr>
                <w:rFonts w:ascii="Arial" w:eastAsia="Times New Roman" w:hAnsi="Arial" w:cs="Arial"/>
                <w:color w:val="333333"/>
                <w:sz w:val="20"/>
                <w:szCs w:val="20"/>
                <w:lang w:val="cs-CZ" w:eastAsia="cs-CZ"/>
              </w:rPr>
            </w:pPr>
            <w:r w:rsidRPr="00360080">
              <w:rPr>
                <w:rFonts w:ascii="Arial" w:eastAsia="Times New Roman" w:hAnsi="Arial" w:cs="Arial"/>
                <w:color w:val="333333"/>
                <w:sz w:val="20"/>
                <w:szCs w:val="20"/>
                <w:lang w:val="cs-CZ" w:eastAsia="cs-CZ"/>
              </w:rPr>
              <w:t>Strengthen science-based decision-making when it comes to resilience and disaster risk management, including on the role of nature-based solutions.</w:t>
            </w:r>
          </w:p>
          <w:p w14:paraId="6923FD2E" w14:textId="77777777" w:rsidR="00CA6627" w:rsidRPr="00360080" w:rsidRDefault="00CA6627" w:rsidP="00CA6627">
            <w:pPr>
              <w:numPr>
                <w:ilvl w:val="0"/>
                <w:numId w:val="17"/>
              </w:numPr>
              <w:shd w:val="clear" w:color="auto" w:fill="FFFFFF"/>
              <w:spacing w:after="75"/>
              <w:ind w:left="1020"/>
              <w:rPr>
                <w:rFonts w:ascii="Arial" w:eastAsia="Times New Roman" w:hAnsi="Arial" w:cs="Arial"/>
                <w:color w:val="333333"/>
                <w:sz w:val="20"/>
                <w:szCs w:val="20"/>
                <w:lang w:val="cs-CZ" w:eastAsia="cs-CZ"/>
              </w:rPr>
            </w:pPr>
            <w:r w:rsidRPr="00360080">
              <w:rPr>
                <w:rFonts w:ascii="Arial" w:eastAsia="Times New Roman" w:hAnsi="Arial" w:cs="Arial"/>
                <w:color w:val="333333"/>
                <w:sz w:val="20"/>
                <w:szCs w:val="20"/>
                <w:lang w:val="cs-CZ" w:eastAsia="cs-CZ"/>
              </w:rPr>
              <w:t>Stronger local adaptive capacity.</w:t>
            </w:r>
          </w:p>
          <w:p w14:paraId="24B4AA66" w14:textId="77777777" w:rsidR="00CA6627" w:rsidRPr="00360080" w:rsidRDefault="00CA6627" w:rsidP="00CA6627">
            <w:pPr>
              <w:numPr>
                <w:ilvl w:val="0"/>
                <w:numId w:val="17"/>
              </w:numPr>
              <w:shd w:val="clear" w:color="auto" w:fill="FFFFFF"/>
              <w:spacing w:after="75"/>
              <w:ind w:left="1020"/>
              <w:rPr>
                <w:rFonts w:ascii="Arial" w:eastAsia="Times New Roman" w:hAnsi="Arial" w:cs="Arial"/>
                <w:color w:val="333333"/>
                <w:sz w:val="20"/>
                <w:szCs w:val="20"/>
                <w:lang w:val="cs-CZ" w:eastAsia="cs-CZ"/>
              </w:rPr>
            </w:pPr>
            <w:r w:rsidRPr="00360080">
              <w:rPr>
                <w:rFonts w:ascii="Arial" w:eastAsia="Times New Roman" w:hAnsi="Arial" w:cs="Arial"/>
                <w:color w:val="333333"/>
                <w:sz w:val="20"/>
                <w:szCs w:val="20"/>
                <w:lang w:val="cs-CZ" w:eastAsia="cs-CZ"/>
              </w:rPr>
              <w:t>Improved synergies between national, regional and local Green Deal objectives, in particular adaptation action.</w:t>
            </w:r>
          </w:p>
          <w:p w14:paraId="41F9D8FB" w14:textId="77777777" w:rsidR="00CA6627" w:rsidRPr="00360080" w:rsidRDefault="00CA6627" w:rsidP="00CA6627">
            <w:pPr>
              <w:numPr>
                <w:ilvl w:val="0"/>
                <w:numId w:val="17"/>
              </w:numPr>
              <w:shd w:val="clear" w:color="auto" w:fill="FFFFFF"/>
              <w:spacing w:after="75"/>
              <w:ind w:left="1020"/>
              <w:rPr>
                <w:rFonts w:ascii="Arial" w:eastAsia="Times New Roman" w:hAnsi="Arial" w:cs="Arial"/>
                <w:color w:val="333333"/>
                <w:sz w:val="20"/>
                <w:szCs w:val="20"/>
                <w:lang w:val="cs-CZ" w:eastAsia="cs-CZ"/>
              </w:rPr>
            </w:pPr>
            <w:r w:rsidRPr="00360080">
              <w:rPr>
                <w:rFonts w:ascii="Arial" w:eastAsia="Times New Roman" w:hAnsi="Arial" w:cs="Arial"/>
                <w:color w:val="333333"/>
                <w:sz w:val="20"/>
                <w:szCs w:val="20"/>
                <w:lang w:val="cs-CZ" w:eastAsia="cs-CZ"/>
              </w:rPr>
              <w:t>Better coordinated and more impactful R&amp;I activities on adaptation modelling and risk assessment.</w:t>
            </w:r>
          </w:p>
          <w:p w14:paraId="3ED19419" w14:textId="18A14812" w:rsidR="0008781B" w:rsidRPr="00360080" w:rsidRDefault="0008781B" w:rsidP="00023567">
            <w:pPr>
              <w:rPr>
                <w:rFonts w:ascii="Arial" w:hAnsi="Arial" w:cs="Arial"/>
                <w:color w:val="D9D9D9" w:themeColor="background1" w:themeShade="D9"/>
                <w:sz w:val="20"/>
                <w:szCs w:val="20"/>
                <w:lang w:val="cs-CZ"/>
              </w:rPr>
            </w:pPr>
          </w:p>
        </w:tc>
      </w:tr>
      <w:tr w:rsidR="00F662F9" w:rsidRPr="00360080" w14:paraId="1853AD06" w14:textId="77777777" w:rsidTr="006F7D29">
        <w:trPr>
          <w:trHeight w:val="115"/>
        </w:trPr>
        <w:tc>
          <w:tcPr>
            <w:tcW w:w="1413" w:type="dxa"/>
          </w:tcPr>
          <w:p w14:paraId="5FA41AE3" w14:textId="77777777" w:rsidR="00837D57" w:rsidRPr="00360080" w:rsidRDefault="00837D57" w:rsidP="00EC032D">
            <w:pPr>
              <w:rPr>
                <w:rFonts w:ascii="Arial" w:hAnsi="Arial" w:cs="Arial"/>
                <w:sz w:val="20"/>
                <w:szCs w:val="20"/>
              </w:rPr>
            </w:pPr>
            <w:r w:rsidRPr="00360080">
              <w:rPr>
                <w:rFonts w:ascii="Arial" w:hAnsi="Arial" w:cs="Arial"/>
                <w:sz w:val="20"/>
                <w:szCs w:val="20"/>
              </w:rPr>
              <w:t>Call opens</w:t>
            </w:r>
          </w:p>
        </w:tc>
        <w:tc>
          <w:tcPr>
            <w:tcW w:w="8781" w:type="dxa"/>
          </w:tcPr>
          <w:p w14:paraId="35A865BC" w14:textId="39CF7080" w:rsidR="00837D57" w:rsidRPr="00924DAC" w:rsidRDefault="006F7D29" w:rsidP="00924DAC">
            <w:pPr>
              <w:shd w:val="clear" w:color="auto" w:fill="FFFFFF"/>
              <w:rPr>
                <w:rFonts w:ascii="Arial" w:eastAsia="Times New Roman" w:hAnsi="Arial" w:cs="Arial"/>
                <w:color w:val="757575"/>
                <w:sz w:val="20"/>
                <w:szCs w:val="20"/>
                <w:lang w:val="cs-CZ" w:eastAsia="cs-CZ"/>
              </w:rPr>
            </w:pPr>
            <w:r w:rsidRPr="00360080">
              <w:rPr>
                <w:rFonts w:ascii="Arial" w:eastAsia="Times New Roman" w:hAnsi="Arial" w:cs="Arial"/>
                <w:b/>
                <w:bCs/>
                <w:color w:val="404040"/>
                <w:sz w:val="20"/>
                <w:szCs w:val="20"/>
                <w:bdr w:val="none" w:sz="0" w:space="0" w:color="auto" w:frame="1"/>
                <w:lang w:val="cs-CZ" w:eastAsia="cs-CZ"/>
              </w:rPr>
              <w:t>13 December 2022</w:t>
            </w:r>
          </w:p>
        </w:tc>
      </w:tr>
      <w:tr w:rsidR="00F662F9" w:rsidRPr="00360080" w14:paraId="0F7DDBEA" w14:textId="77777777" w:rsidTr="00B80ACE">
        <w:tc>
          <w:tcPr>
            <w:tcW w:w="1413" w:type="dxa"/>
          </w:tcPr>
          <w:p w14:paraId="5D217CD8" w14:textId="77777777" w:rsidR="00837D57" w:rsidRPr="00360080" w:rsidRDefault="007322DA" w:rsidP="007322DA">
            <w:pPr>
              <w:rPr>
                <w:rFonts w:ascii="Arial" w:hAnsi="Arial" w:cs="Arial"/>
                <w:sz w:val="20"/>
                <w:szCs w:val="20"/>
              </w:rPr>
            </w:pPr>
            <w:r w:rsidRPr="00360080">
              <w:rPr>
                <w:rFonts w:ascii="Arial" w:hAnsi="Arial" w:cs="Arial"/>
                <w:sz w:val="20"/>
                <w:szCs w:val="20"/>
              </w:rPr>
              <w:t>SCI</w:t>
            </w:r>
            <w:r w:rsidR="00837D57" w:rsidRPr="00360080">
              <w:rPr>
                <w:rFonts w:ascii="Arial" w:hAnsi="Arial" w:cs="Arial"/>
                <w:sz w:val="20"/>
                <w:szCs w:val="20"/>
              </w:rPr>
              <w:t xml:space="preserve"> deadline</w:t>
            </w:r>
          </w:p>
        </w:tc>
        <w:tc>
          <w:tcPr>
            <w:tcW w:w="8781" w:type="dxa"/>
          </w:tcPr>
          <w:p w14:paraId="68BF571D" w14:textId="25797FA2" w:rsidR="00434A5B" w:rsidRPr="00360080" w:rsidRDefault="006F7D29" w:rsidP="00906EA9">
            <w:pPr>
              <w:rPr>
                <w:rFonts w:ascii="Arial" w:hAnsi="Arial" w:cs="Arial"/>
                <w:color w:val="D9D9D9" w:themeColor="background1" w:themeShade="D9"/>
                <w:sz w:val="20"/>
                <w:szCs w:val="20"/>
              </w:rPr>
            </w:pPr>
            <w:r w:rsidRPr="00360080">
              <w:rPr>
                <w:rFonts w:ascii="Arial" w:hAnsi="Arial" w:cs="Arial"/>
                <w:sz w:val="20"/>
                <w:szCs w:val="20"/>
              </w:rPr>
              <w:t>4. April 2023, 12:00</w:t>
            </w:r>
          </w:p>
        </w:tc>
      </w:tr>
      <w:tr w:rsidR="00F662F9" w:rsidRPr="00360080" w14:paraId="320A05D0" w14:textId="77777777" w:rsidTr="00B80ACE">
        <w:tc>
          <w:tcPr>
            <w:tcW w:w="1413" w:type="dxa"/>
          </w:tcPr>
          <w:p w14:paraId="6A6A5475" w14:textId="77777777" w:rsidR="00837D57" w:rsidRPr="00360080" w:rsidRDefault="00837D57" w:rsidP="00EC032D">
            <w:pPr>
              <w:rPr>
                <w:rFonts w:ascii="Arial" w:hAnsi="Arial" w:cs="Arial"/>
                <w:sz w:val="20"/>
                <w:szCs w:val="20"/>
              </w:rPr>
            </w:pPr>
            <w:r w:rsidRPr="00360080">
              <w:rPr>
                <w:rFonts w:ascii="Arial" w:hAnsi="Arial" w:cs="Arial"/>
                <w:sz w:val="20"/>
                <w:szCs w:val="20"/>
              </w:rPr>
              <w:t>Final deadline</w:t>
            </w:r>
          </w:p>
        </w:tc>
        <w:tc>
          <w:tcPr>
            <w:tcW w:w="8781" w:type="dxa"/>
          </w:tcPr>
          <w:p w14:paraId="2E92113F" w14:textId="77777777" w:rsidR="006F7D29" w:rsidRPr="00360080" w:rsidRDefault="006F7D29" w:rsidP="006F7D29">
            <w:pPr>
              <w:shd w:val="clear" w:color="auto" w:fill="FFFFFF"/>
              <w:rPr>
                <w:rFonts w:ascii="Arial" w:eastAsia="Times New Roman" w:hAnsi="Arial" w:cs="Arial"/>
                <w:color w:val="757575"/>
                <w:sz w:val="20"/>
                <w:szCs w:val="20"/>
                <w:lang w:val="cs-CZ" w:eastAsia="cs-CZ"/>
              </w:rPr>
            </w:pPr>
            <w:r w:rsidRPr="00360080">
              <w:rPr>
                <w:rFonts w:ascii="Arial" w:eastAsia="Times New Roman" w:hAnsi="Arial" w:cs="Arial"/>
                <w:b/>
                <w:bCs/>
                <w:color w:val="404040"/>
                <w:sz w:val="20"/>
                <w:szCs w:val="20"/>
                <w:bdr w:val="none" w:sz="0" w:space="0" w:color="auto" w:frame="1"/>
                <w:lang w:val="cs-CZ" w:eastAsia="cs-CZ"/>
              </w:rPr>
              <w:t>18 April 2023 17:00:00 Brussels time</w:t>
            </w:r>
          </w:p>
          <w:p w14:paraId="0C36EC0A" w14:textId="5EE266E4" w:rsidR="00434A5B" w:rsidRPr="00360080" w:rsidRDefault="00434A5B" w:rsidP="0006574F">
            <w:pPr>
              <w:rPr>
                <w:rFonts w:ascii="Arial" w:hAnsi="Arial" w:cs="Arial"/>
                <w:color w:val="D9D9D9" w:themeColor="background1" w:themeShade="D9"/>
                <w:sz w:val="20"/>
                <w:szCs w:val="20"/>
              </w:rPr>
            </w:pPr>
          </w:p>
        </w:tc>
      </w:tr>
      <w:tr w:rsidR="00F662F9" w:rsidRPr="00360080" w14:paraId="5E93B495" w14:textId="77777777" w:rsidTr="00B80ACE">
        <w:tc>
          <w:tcPr>
            <w:tcW w:w="1413" w:type="dxa"/>
          </w:tcPr>
          <w:p w14:paraId="458DCFA8" w14:textId="77777777" w:rsidR="00837D57" w:rsidRPr="00360080" w:rsidRDefault="00837D57" w:rsidP="00EC032D">
            <w:pPr>
              <w:rPr>
                <w:rFonts w:ascii="Arial" w:hAnsi="Arial" w:cs="Arial"/>
                <w:sz w:val="20"/>
                <w:szCs w:val="20"/>
              </w:rPr>
            </w:pPr>
            <w:r w:rsidRPr="00360080">
              <w:rPr>
                <w:rFonts w:ascii="Arial" w:hAnsi="Arial" w:cs="Arial"/>
                <w:sz w:val="20"/>
                <w:szCs w:val="20"/>
              </w:rPr>
              <w:lastRenderedPageBreak/>
              <w:t>Evaluation results</w:t>
            </w:r>
          </w:p>
        </w:tc>
        <w:tc>
          <w:tcPr>
            <w:tcW w:w="8781" w:type="dxa"/>
          </w:tcPr>
          <w:p w14:paraId="6C644ABA" w14:textId="6CCCD674" w:rsidR="00837D57" w:rsidRPr="00360080" w:rsidRDefault="00837D57" w:rsidP="00EB147D">
            <w:pPr>
              <w:rPr>
                <w:rFonts w:ascii="Arial" w:hAnsi="Arial" w:cs="Arial"/>
                <w:color w:val="D9D9D9" w:themeColor="background1" w:themeShade="D9"/>
                <w:sz w:val="20"/>
                <w:szCs w:val="20"/>
              </w:rPr>
            </w:pPr>
          </w:p>
        </w:tc>
      </w:tr>
      <w:tr w:rsidR="00F662F9" w:rsidRPr="00360080" w14:paraId="4673FAAC" w14:textId="77777777" w:rsidTr="00B80ACE">
        <w:tc>
          <w:tcPr>
            <w:tcW w:w="1413" w:type="dxa"/>
          </w:tcPr>
          <w:p w14:paraId="6383B170" w14:textId="77777777" w:rsidR="00837D57" w:rsidRPr="00360080" w:rsidRDefault="00837D57" w:rsidP="009373CB">
            <w:pPr>
              <w:rPr>
                <w:rFonts w:ascii="Arial" w:hAnsi="Arial" w:cs="Arial"/>
                <w:sz w:val="20"/>
                <w:szCs w:val="20"/>
              </w:rPr>
            </w:pPr>
            <w:r w:rsidRPr="00360080">
              <w:rPr>
                <w:rFonts w:ascii="Arial" w:hAnsi="Arial" w:cs="Arial"/>
                <w:sz w:val="20"/>
                <w:szCs w:val="20"/>
              </w:rPr>
              <w:t>Agreement</w:t>
            </w:r>
          </w:p>
        </w:tc>
        <w:tc>
          <w:tcPr>
            <w:tcW w:w="8781" w:type="dxa"/>
          </w:tcPr>
          <w:p w14:paraId="4E3AF273" w14:textId="094C1BB3" w:rsidR="00837D57" w:rsidRPr="00360080" w:rsidRDefault="00837D57" w:rsidP="007860F1">
            <w:pPr>
              <w:rPr>
                <w:rFonts w:ascii="Arial" w:hAnsi="Arial" w:cs="Arial"/>
                <w:color w:val="D9D9D9" w:themeColor="background1" w:themeShade="D9"/>
                <w:sz w:val="20"/>
                <w:szCs w:val="20"/>
              </w:rPr>
            </w:pPr>
          </w:p>
        </w:tc>
      </w:tr>
      <w:tr w:rsidR="00F662F9" w:rsidRPr="00360080" w14:paraId="2E290A56" w14:textId="77777777" w:rsidTr="00B80ACE">
        <w:tc>
          <w:tcPr>
            <w:tcW w:w="1413" w:type="dxa"/>
          </w:tcPr>
          <w:p w14:paraId="6A646A9B" w14:textId="77777777" w:rsidR="00837D57" w:rsidRPr="00360080" w:rsidRDefault="00837D57" w:rsidP="00EC032D">
            <w:pPr>
              <w:rPr>
                <w:rFonts w:ascii="Arial" w:hAnsi="Arial" w:cs="Arial"/>
                <w:sz w:val="20"/>
                <w:szCs w:val="20"/>
              </w:rPr>
            </w:pPr>
            <w:r w:rsidRPr="00360080">
              <w:rPr>
                <w:rFonts w:ascii="Arial" w:hAnsi="Arial" w:cs="Arial"/>
                <w:sz w:val="20"/>
                <w:szCs w:val="20"/>
              </w:rPr>
              <w:t>Earliest date of implementation</w:t>
            </w:r>
          </w:p>
        </w:tc>
        <w:tc>
          <w:tcPr>
            <w:tcW w:w="8781" w:type="dxa"/>
          </w:tcPr>
          <w:p w14:paraId="13B1FC4E" w14:textId="3B200533" w:rsidR="002929E5" w:rsidRPr="00360080" w:rsidRDefault="002929E5" w:rsidP="002929E5">
            <w:pPr>
              <w:rPr>
                <w:rFonts w:ascii="Arial" w:hAnsi="Arial" w:cs="Arial"/>
                <w:color w:val="D9D9D9" w:themeColor="background1" w:themeShade="D9"/>
                <w:sz w:val="20"/>
                <w:szCs w:val="20"/>
              </w:rPr>
            </w:pPr>
          </w:p>
        </w:tc>
      </w:tr>
      <w:tr w:rsidR="00F662F9" w:rsidRPr="00360080" w14:paraId="304B5285" w14:textId="77777777" w:rsidTr="00B80ACE">
        <w:tc>
          <w:tcPr>
            <w:tcW w:w="1413" w:type="dxa"/>
          </w:tcPr>
          <w:p w14:paraId="777E6273" w14:textId="77777777" w:rsidR="00837D57" w:rsidRPr="00360080" w:rsidRDefault="00837D57" w:rsidP="00EC032D">
            <w:pPr>
              <w:rPr>
                <w:rFonts w:ascii="Arial" w:hAnsi="Arial" w:cs="Arial"/>
                <w:sz w:val="20"/>
                <w:szCs w:val="20"/>
              </w:rPr>
            </w:pPr>
            <w:r w:rsidRPr="00360080">
              <w:rPr>
                <w:rFonts w:ascii="Arial" w:hAnsi="Arial" w:cs="Arial"/>
                <w:sz w:val="20"/>
                <w:szCs w:val="20"/>
              </w:rPr>
              <w:t>Latest date of implementation</w:t>
            </w:r>
          </w:p>
        </w:tc>
        <w:tc>
          <w:tcPr>
            <w:tcW w:w="8781" w:type="dxa"/>
          </w:tcPr>
          <w:p w14:paraId="4693D47B" w14:textId="567445A0" w:rsidR="00837D57" w:rsidRPr="00360080" w:rsidRDefault="00837D57" w:rsidP="00EB147D">
            <w:pPr>
              <w:rPr>
                <w:rFonts w:ascii="Arial" w:hAnsi="Arial" w:cs="Arial"/>
                <w:color w:val="D9D9D9" w:themeColor="background1" w:themeShade="D9"/>
                <w:sz w:val="20"/>
                <w:szCs w:val="20"/>
              </w:rPr>
            </w:pPr>
          </w:p>
        </w:tc>
      </w:tr>
      <w:tr w:rsidR="00F662F9" w:rsidRPr="00360080" w14:paraId="7DB97A6F" w14:textId="77777777" w:rsidTr="00B80ACE">
        <w:tc>
          <w:tcPr>
            <w:tcW w:w="1413" w:type="dxa"/>
          </w:tcPr>
          <w:p w14:paraId="54A97801" w14:textId="77777777" w:rsidR="00837D57" w:rsidRPr="00360080" w:rsidRDefault="00837D57" w:rsidP="00060D35">
            <w:pPr>
              <w:rPr>
                <w:rFonts w:ascii="Arial" w:hAnsi="Arial" w:cs="Arial"/>
                <w:sz w:val="20"/>
                <w:szCs w:val="20"/>
              </w:rPr>
            </w:pPr>
            <w:r w:rsidRPr="00360080">
              <w:rPr>
                <w:rFonts w:ascii="Arial" w:hAnsi="Arial" w:cs="Arial"/>
                <w:sz w:val="20"/>
                <w:szCs w:val="20"/>
              </w:rPr>
              <w:t>Sustainability</w:t>
            </w:r>
          </w:p>
        </w:tc>
        <w:tc>
          <w:tcPr>
            <w:tcW w:w="8781" w:type="dxa"/>
          </w:tcPr>
          <w:p w14:paraId="046DA757" w14:textId="459FEBA2" w:rsidR="00837D57" w:rsidRPr="00360080" w:rsidRDefault="00837D57" w:rsidP="007860F1">
            <w:pPr>
              <w:rPr>
                <w:rFonts w:ascii="Arial" w:hAnsi="Arial" w:cs="Arial"/>
                <w:color w:val="D9D9D9" w:themeColor="background1" w:themeShade="D9"/>
                <w:sz w:val="20"/>
                <w:szCs w:val="20"/>
              </w:rPr>
            </w:pPr>
          </w:p>
        </w:tc>
      </w:tr>
      <w:tr w:rsidR="00F662F9" w:rsidRPr="00360080" w14:paraId="11774D90" w14:textId="77777777" w:rsidTr="00B80ACE">
        <w:tc>
          <w:tcPr>
            <w:tcW w:w="1413" w:type="dxa"/>
          </w:tcPr>
          <w:p w14:paraId="4F9AFF9E" w14:textId="77777777" w:rsidR="00837D57" w:rsidRPr="00360080" w:rsidRDefault="00837D57" w:rsidP="00EC032D">
            <w:pPr>
              <w:rPr>
                <w:rFonts w:ascii="Arial" w:hAnsi="Arial" w:cs="Arial"/>
                <w:sz w:val="20"/>
                <w:szCs w:val="20"/>
              </w:rPr>
            </w:pPr>
            <w:r w:rsidRPr="00360080">
              <w:rPr>
                <w:rFonts w:ascii="Arial" w:hAnsi="Arial" w:cs="Arial"/>
                <w:sz w:val="20"/>
                <w:szCs w:val="20"/>
              </w:rPr>
              <w:t>Project duration (min-max)</w:t>
            </w:r>
          </w:p>
        </w:tc>
        <w:tc>
          <w:tcPr>
            <w:tcW w:w="8781" w:type="dxa"/>
          </w:tcPr>
          <w:p w14:paraId="084D1DA7" w14:textId="231F7DE5" w:rsidR="00837D57" w:rsidRPr="00360080" w:rsidRDefault="00837D57" w:rsidP="002929E5">
            <w:pPr>
              <w:rPr>
                <w:rFonts w:ascii="Arial" w:hAnsi="Arial" w:cs="Arial"/>
                <w:b/>
                <w:color w:val="D9D9D9" w:themeColor="background1" w:themeShade="D9"/>
                <w:sz w:val="20"/>
                <w:szCs w:val="20"/>
              </w:rPr>
            </w:pPr>
          </w:p>
        </w:tc>
      </w:tr>
      <w:tr w:rsidR="00F662F9" w:rsidRPr="00360080" w14:paraId="37E4FF82" w14:textId="77777777" w:rsidTr="00B80ACE">
        <w:tc>
          <w:tcPr>
            <w:tcW w:w="1413" w:type="dxa"/>
          </w:tcPr>
          <w:p w14:paraId="28E74224" w14:textId="77777777" w:rsidR="00837D57" w:rsidRPr="00360080" w:rsidRDefault="00837D57" w:rsidP="00906EA9">
            <w:pPr>
              <w:rPr>
                <w:rFonts w:ascii="Arial" w:hAnsi="Arial" w:cs="Arial"/>
                <w:sz w:val="20"/>
                <w:szCs w:val="20"/>
              </w:rPr>
            </w:pPr>
            <w:r w:rsidRPr="00360080">
              <w:rPr>
                <w:rFonts w:ascii="Arial" w:hAnsi="Arial" w:cs="Arial"/>
                <w:sz w:val="20"/>
                <w:szCs w:val="20"/>
              </w:rPr>
              <w:t xml:space="preserve">Call allocation </w:t>
            </w:r>
          </w:p>
        </w:tc>
        <w:tc>
          <w:tcPr>
            <w:tcW w:w="8781" w:type="dxa"/>
          </w:tcPr>
          <w:p w14:paraId="3B7AC769" w14:textId="77777777" w:rsidR="00C743A3" w:rsidRPr="00360080" w:rsidRDefault="00C743A3" w:rsidP="00C743A3">
            <w:pPr>
              <w:rPr>
                <w:rFonts w:ascii="Arial" w:hAnsi="Arial" w:cs="Arial"/>
                <w:color w:val="222222"/>
                <w:sz w:val="20"/>
                <w:szCs w:val="20"/>
              </w:rPr>
            </w:pPr>
            <w:r w:rsidRPr="00360080">
              <w:rPr>
                <w:rStyle w:val="ng-star-inserted"/>
                <w:rFonts w:ascii="Arial" w:hAnsi="Arial" w:cs="Arial"/>
                <w:color w:val="222222"/>
                <w:sz w:val="20"/>
                <w:szCs w:val="20"/>
                <w:bdr w:val="none" w:sz="0" w:space="0" w:color="auto" w:frame="1"/>
              </w:rPr>
              <w:t>around 8000000</w:t>
            </w:r>
          </w:p>
          <w:p w14:paraId="4AE114BA" w14:textId="46EE37A2" w:rsidR="00837D57" w:rsidRPr="00360080" w:rsidRDefault="00C743A3" w:rsidP="00C743A3">
            <w:pPr>
              <w:ind w:left="720" w:hanging="720"/>
              <w:rPr>
                <w:rFonts w:ascii="Arial" w:hAnsi="Arial" w:cs="Arial"/>
                <w:color w:val="D9D9D9" w:themeColor="background1" w:themeShade="D9"/>
                <w:sz w:val="20"/>
                <w:szCs w:val="20"/>
              </w:rPr>
            </w:pPr>
            <w:r w:rsidRPr="00360080">
              <w:rPr>
                <w:rFonts w:ascii="Arial" w:hAnsi="Arial" w:cs="Arial"/>
                <w:sz w:val="20"/>
                <w:szCs w:val="20"/>
              </w:rPr>
              <w:t>Approximately 2 projects will be supported</w:t>
            </w:r>
          </w:p>
        </w:tc>
      </w:tr>
      <w:tr w:rsidR="00F662F9" w:rsidRPr="00360080" w14:paraId="7983FC53" w14:textId="77777777" w:rsidTr="00B80ACE">
        <w:tc>
          <w:tcPr>
            <w:tcW w:w="1413" w:type="dxa"/>
          </w:tcPr>
          <w:p w14:paraId="672AF331" w14:textId="77777777" w:rsidR="00837D57" w:rsidRPr="00360080" w:rsidRDefault="00837D57" w:rsidP="003D2B95">
            <w:pPr>
              <w:rPr>
                <w:rFonts w:ascii="Arial" w:hAnsi="Arial" w:cs="Arial"/>
                <w:sz w:val="20"/>
                <w:szCs w:val="20"/>
              </w:rPr>
            </w:pPr>
            <w:r w:rsidRPr="00360080">
              <w:rPr>
                <w:rFonts w:ascii="Arial" w:hAnsi="Arial" w:cs="Arial"/>
                <w:sz w:val="20"/>
                <w:szCs w:val="20"/>
              </w:rPr>
              <w:t>Project budget (min-max)</w:t>
            </w:r>
          </w:p>
        </w:tc>
        <w:tc>
          <w:tcPr>
            <w:tcW w:w="8781" w:type="dxa"/>
          </w:tcPr>
          <w:p w14:paraId="75C09E40" w14:textId="5E19FFFD" w:rsidR="00C24274" w:rsidRPr="00360080" w:rsidRDefault="00C24274" w:rsidP="00C24274">
            <w:pPr>
              <w:rPr>
                <w:rFonts w:ascii="Arial" w:hAnsi="Arial" w:cs="Arial"/>
                <w:b/>
                <w:color w:val="D9D9D9" w:themeColor="background1" w:themeShade="D9"/>
                <w:sz w:val="20"/>
                <w:szCs w:val="20"/>
              </w:rPr>
            </w:pPr>
          </w:p>
        </w:tc>
      </w:tr>
      <w:tr w:rsidR="00F662F9" w:rsidRPr="00360080" w14:paraId="78E9FBB1" w14:textId="77777777" w:rsidTr="00B80ACE">
        <w:tc>
          <w:tcPr>
            <w:tcW w:w="1413" w:type="dxa"/>
          </w:tcPr>
          <w:p w14:paraId="5773FEC0" w14:textId="77777777" w:rsidR="00837D57" w:rsidRPr="00360080" w:rsidRDefault="00837D57" w:rsidP="00EC032D">
            <w:pPr>
              <w:rPr>
                <w:rFonts w:ascii="Arial" w:hAnsi="Arial" w:cs="Arial"/>
                <w:sz w:val="20"/>
                <w:szCs w:val="20"/>
              </w:rPr>
            </w:pPr>
            <w:r w:rsidRPr="00360080">
              <w:rPr>
                <w:rFonts w:ascii="Arial" w:hAnsi="Arial" w:cs="Arial"/>
                <w:sz w:val="20"/>
                <w:szCs w:val="20"/>
              </w:rPr>
              <w:t>Success rate</w:t>
            </w:r>
          </w:p>
        </w:tc>
        <w:tc>
          <w:tcPr>
            <w:tcW w:w="8781" w:type="dxa"/>
          </w:tcPr>
          <w:p w14:paraId="1800FCAB" w14:textId="377ACB89" w:rsidR="00837D57" w:rsidRPr="00360080" w:rsidRDefault="00837D57" w:rsidP="007860F1">
            <w:pPr>
              <w:rPr>
                <w:rFonts w:ascii="Arial" w:hAnsi="Arial" w:cs="Arial"/>
                <w:color w:val="D9D9D9" w:themeColor="background1" w:themeShade="D9"/>
                <w:sz w:val="20"/>
                <w:szCs w:val="20"/>
              </w:rPr>
            </w:pPr>
          </w:p>
        </w:tc>
      </w:tr>
      <w:tr w:rsidR="00F662F9" w:rsidRPr="00360080" w14:paraId="68D97F7A" w14:textId="77777777" w:rsidTr="00B80ACE">
        <w:tc>
          <w:tcPr>
            <w:tcW w:w="1413" w:type="dxa"/>
          </w:tcPr>
          <w:p w14:paraId="4369B1C2" w14:textId="77777777" w:rsidR="00837D57" w:rsidRPr="00360080" w:rsidRDefault="00837D57" w:rsidP="00EC032D">
            <w:pPr>
              <w:rPr>
                <w:rFonts w:ascii="Arial" w:hAnsi="Arial" w:cs="Arial"/>
                <w:sz w:val="20"/>
                <w:szCs w:val="20"/>
              </w:rPr>
            </w:pPr>
            <w:r w:rsidRPr="00360080">
              <w:rPr>
                <w:rFonts w:ascii="Arial" w:hAnsi="Arial" w:cs="Arial"/>
                <w:sz w:val="20"/>
                <w:szCs w:val="20"/>
              </w:rPr>
              <w:t>Eligible costs</w:t>
            </w:r>
          </w:p>
        </w:tc>
        <w:tc>
          <w:tcPr>
            <w:tcW w:w="8781" w:type="dxa"/>
          </w:tcPr>
          <w:p w14:paraId="722AA3C4" w14:textId="5D487D30" w:rsidR="00A273D7" w:rsidRPr="00360080" w:rsidRDefault="00B512C9" w:rsidP="00A273D7">
            <w:pPr>
              <w:rPr>
                <w:rFonts w:ascii="Arial" w:hAnsi="Arial" w:cs="Arial"/>
                <w:color w:val="D9D9D9" w:themeColor="background1" w:themeShade="D9"/>
                <w:sz w:val="20"/>
                <w:szCs w:val="20"/>
              </w:rPr>
            </w:pPr>
            <w:r w:rsidRPr="00360080">
              <w:rPr>
                <w:rFonts w:ascii="Arial" w:hAnsi="Arial" w:cs="Arial"/>
                <w:sz w:val="20"/>
                <w:szCs w:val="20"/>
              </w:rPr>
              <w:t>Budget categories: – actual costs (i.e. costs which are real and not estimated or budgeted) for: – personnel costs (unless declared as a unit cost; see below); – subcontracting costs; – purchase costs (unless declared as a unit cost; see below); and – costs of providing financial support to third parties (if provided for in the specific call conditions); – units (i.e. an amount per unit) for: – personnel costs of SME owners/natural persons not receiving a salary; – personnel costs calculated by the beneficiaries according to their usual cost accounting practices (average personnel costs); – costs of internally invoiced goods and services calculated by the beneficiaries according to their usual cost accounting practices; and Horizon Europe - Work programme 2023-2024 General Annexes Part 13 - Page 31 of 43 – specific unit costs (if provided for in the specific call conditions; see also Annex 2a of the grant agreement); – flat-rate (i.e. costs calculated by applying a percentage fixed in advance to other types of eligible costs) for: – indirect costs (25% flat-rate of the total eligible direct costs, excluding eligible direct costs for subcontracting, financial support to third parties and any unit costs or lump sums which include indirect costs); – lump sum (i.e. a global amount deemed to cover all costs of the action or a specific category of costs, if provided for in the specific call conditions).</w:t>
            </w:r>
          </w:p>
        </w:tc>
      </w:tr>
      <w:tr w:rsidR="00F662F9" w:rsidRPr="00360080" w14:paraId="1D86D2E6" w14:textId="77777777" w:rsidTr="00B80ACE">
        <w:tc>
          <w:tcPr>
            <w:tcW w:w="1413" w:type="dxa"/>
          </w:tcPr>
          <w:p w14:paraId="7AFC4D19" w14:textId="77777777" w:rsidR="00837D57" w:rsidRPr="00360080" w:rsidRDefault="00837D57" w:rsidP="00EC032D">
            <w:pPr>
              <w:rPr>
                <w:rFonts w:ascii="Arial" w:hAnsi="Arial" w:cs="Arial"/>
                <w:sz w:val="20"/>
                <w:szCs w:val="20"/>
              </w:rPr>
            </w:pPr>
            <w:r w:rsidRPr="00360080">
              <w:rPr>
                <w:rFonts w:ascii="Arial" w:hAnsi="Arial" w:cs="Arial"/>
                <w:sz w:val="20"/>
                <w:szCs w:val="20"/>
              </w:rPr>
              <w:t>Reimbursement</w:t>
            </w:r>
          </w:p>
        </w:tc>
        <w:tc>
          <w:tcPr>
            <w:tcW w:w="8781" w:type="dxa"/>
          </w:tcPr>
          <w:p w14:paraId="34B4F77A" w14:textId="149A9635" w:rsidR="0070556B" w:rsidRPr="00360080" w:rsidRDefault="00B512C9" w:rsidP="005215C8">
            <w:pPr>
              <w:rPr>
                <w:rFonts w:ascii="Arial" w:hAnsi="Arial" w:cs="Arial"/>
                <w:color w:val="D9D9D9" w:themeColor="background1" w:themeShade="D9"/>
                <w:sz w:val="20"/>
                <w:szCs w:val="20"/>
              </w:rPr>
            </w:pPr>
            <w:r w:rsidRPr="00360080">
              <w:rPr>
                <w:rFonts w:ascii="Arial" w:hAnsi="Arial" w:cs="Arial"/>
                <w:sz w:val="20"/>
                <w:szCs w:val="20"/>
              </w:rPr>
              <w:t>Research and innovation action: 100%</w:t>
            </w:r>
          </w:p>
        </w:tc>
      </w:tr>
      <w:tr w:rsidR="00F662F9" w:rsidRPr="00360080" w14:paraId="378BA99F" w14:textId="77777777" w:rsidTr="00B80ACE">
        <w:tc>
          <w:tcPr>
            <w:tcW w:w="1413" w:type="dxa"/>
          </w:tcPr>
          <w:p w14:paraId="58557148" w14:textId="77777777" w:rsidR="00837D57" w:rsidRPr="00360080" w:rsidRDefault="00837D57" w:rsidP="00083250">
            <w:pPr>
              <w:rPr>
                <w:rFonts w:ascii="Arial" w:hAnsi="Arial" w:cs="Arial"/>
                <w:sz w:val="20"/>
                <w:szCs w:val="20"/>
              </w:rPr>
            </w:pPr>
            <w:r w:rsidRPr="00360080">
              <w:rPr>
                <w:rFonts w:ascii="Arial" w:hAnsi="Arial" w:cs="Arial"/>
                <w:sz w:val="20"/>
                <w:szCs w:val="20"/>
              </w:rPr>
              <w:t>Mode of funding</w:t>
            </w:r>
          </w:p>
        </w:tc>
        <w:tc>
          <w:tcPr>
            <w:tcW w:w="8781" w:type="dxa"/>
          </w:tcPr>
          <w:p w14:paraId="60E7CC0B" w14:textId="77777777" w:rsidR="00837D57" w:rsidRPr="00360080" w:rsidRDefault="00837D57" w:rsidP="00042987">
            <w:pPr>
              <w:rPr>
                <w:rFonts w:ascii="Arial" w:hAnsi="Arial" w:cs="Arial"/>
                <w:sz w:val="20"/>
                <w:szCs w:val="20"/>
              </w:rPr>
            </w:pPr>
            <w:r w:rsidRPr="00360080">
              <w:rPr>
                <w:rFonts w:ascii="Arial" w:hAnsi="Arial" w:cs="Arial"/>
                <w:sz w:val="20"/>
                <w:szCs w:val="20"/>
              </w:rPr>
              <w:t xml:space="preserve">Ex-ante </w:t>
            </w:r>
            <w:r w:rsidR="00C804F6" w:rsidRPr="00360080">
              <w:rPr>
                <w:rFonts w:ascii="Arial" w:hAnsi="Arial" w:cs="Arial"/>
                <w:sz w:val="20"/>
                <w:szCs w:val="20"/>
              </w:rPr>
              <w:t>(</w:t>
            </w:r>
            <w:r w:rsidR="00042987" w:rsidRPr="00360080">
              <w:rPr>
                <w:rFonts w:ascii="Arial" w:hAnsi="Arial" w:cs="Arial"/>
                <w:sz w:val="20"/>
                <w:szCs w:val="20"/>
              </w:rPr>
              <w:t>advanced payment &amp; interim payments) &amp; ex-post (final payment of 10%)</w:t>
            </w:r>
          </w:p>
        </w:tc>
      </w:tr>
      <w:tr w:rsidR="00F662F9" w:rsidRPr="00360080" w14:paraId="55E21C16" w14:textId="77777777" w:rsidTr="00B80ACE">
        <w:tc>
          <w:tcPr>
            <w:tcW w:w="1413" w:type="dxa"/>
          </w:tcPr>
          <w:p w14:paraId="03F71A9F" w14:textId="77777777" w:rsidR="00837D57" w:rsidRPr="00360080" w:rsidRDefault="00837D57" w:rsidP="00EC032D">
            <w:pPr>
              <w:rPr>
                <w:rFonts w:ascii="Arial" w:hAnsi="Arial" w:cs="Arial"/>
                <w:sz w:val="20"/>
                <w:szCs w:val="20"/>
              </w:rPr>
            </w:pPr>
            <w:r w:rsidRPr="00360080">
              <w:rPr>
                <w:rFonts w:ascii="Arial" w:hAnsi="Arial" w:cs="Arial"/>
                <w:sz w:val="20"/>
                <w:szCs w:val="20"/>
              </w:rPr>
              <w:t>Language of application</w:t>
            </w:r>
          </w:p>
        </w:tc>
        <w:tc>
          <w:tcPr>
            <w:tcW w:w="8781" w:type="dxa"/>
          </w:tcPr>
          <w:p w14:paraId="39C501C8" w14:textId="69A34429" w:rsidR="00837D57" w:rsidRPr="00360080" w:rsidRDefault="00FC4D73" w:rsidP="0052324F">
            <w:pPr>
              <w:rPr>
                <w:rFonts w:ascii="Arial" w:hAnsi="Arial" w:cs="Arial"/>
                <w:color w:val="D9D9D9" w:themeColor="background1" w:themeShade="D9"/>
                <w:sz w:val="20"/>
                <w:szCs w:val="20"/>
              </w:rPr>
            </w:pPr>
            <w:r w:rsidRPr="00360080">
              <w:rPr>
                <w:rFonts w:ascii="Arial" w:hAnsi="Arial" w:cs="Arial"/>
                <w:sz w:val="20"/>
                <w:szCs w:val="20"/>
              </w:rPr>
              <w:t>English</w:t>
            </w:r>
          </w:p>
        </w:tc>
      </w:tr>
      <w:tr w:rsidR="00F662F9" w:rsidRPr="00360080" w14:paraId="21BF49D0" w14:textId="77777777" w:rsidTr="00B80ACE">
        <w:tc>
          <w:tcPr>
            <w:tcW w:w="1413" w:type="dxa"/>
          </w:tcPr>
          <w:p w14:paraId="5E5C6E4D" w14:textId="77777777" w:rsidR="00837D57" w:rsidRPr="00360080" w:rsidRDefault="00837D57" w:rsidP="00060D35">
            <w:pPr>
              <w:rPr>
                <w:rFonts w:ascii="Arial" w:hAnsi="Arial" w:cs="Arial"/>
                <w:sz w:val="20"/>
                <w:szCs w:val="20"/>
              </w:rPr>
            </w:pPr>
            <w:r w:rsidRPr="00360080">
              <w:rPr>
                <w:rFonts w:ascii="Arial" w:hAnsi="Arial" w:cs="Arial"/>
                <w:sz w:val="20"/>
                <w:szCs w:val="20"/>
              </w:rPr>
              <w:t>Reporting</w:t>
            </w:r>
          </w:p>
        </w:tc>
        <w:tc>
          <w:tcPr>
            <w:tcW w:w="8781" w:type="dxa"/>
          </w:tcPr>
          <w:p w14:paraId="7C2B3C90" w14:textId="6689F9B3" w:rsidR="007322DA" w:rsidRPr="00360080" w:rsidRDefault="00B512C9" w:rsidP="007860F1">
            <w:pPr>
              <w:rPr>
                <w:rFonts w:ascii="Arial" w:hAnsi="Arial" w:cs="Arial"/>
                <w:color w:val="D9D9D9" w:themeColor="background1" w:themeShade="D9"/>
                <w:sz w:val="20"/>
                <w:szCs w:val="20"/>
              </w:rPr>
            </w:pPr>
            <w:r w:rsidRPr="00360080">
              <w:rPr>
                <w:rFonts w:ascii="Arial" w:hAnsi="Arial" w:cs="Arial"/>
                <w:sz w:val="20"/>
                <w:szCs w:val="20"/>
              </w:rPr>
              <w:t>The reporting and payment arrangements are fixed in the grant agreement</w:t>
            </w:r>
          </w:p>
        </w:tc>
      </w:tr>
      <w:tr w:rsidR="00F662F9" w:rsidRPr="00360080" w14:paraId="67CE534B" w14:textId="77777777" w:rsidTr="00B80ACE">
        <w:tc>
          <w:tcPr>
            <w:tcW w:w="1413" w:type="dxa"/>
          </w:tcPr>
          <w:p w14:paraId="427F80D0" w14:textId="77777777" w:rsidR="00837D57" w:rsidRPr="00360080" w:rsidRDefault="00837D57" w:rsidP="00EC032D">
            <w:pPr>
              <w:rPr>
                <w:rFonts w:ascii="Arial" w:hAnsi="Arial" w:cs="Arial"/>
                <w:sz w:val="20"/>
                <w:szCs w:val="20"/>
              </w:rPr>
            </w:pPr>
            <w:r w:rsidRPr="00360080">
              <w:rPr>
                <w:rFonts w:ascii="Arial" w:hAnsi="Arial" w:cs="Arial"/>
                <w:sz w:val="20"/>
                <w:szCs w:val="20"/>
              </w:rPr>
              <w:t>Proposal consists of</w:t>
            </w:r>
          </w:p>
        </w:tc>
        <w:tc>
          <w:tcPr>
            <w:tcW w:w="8781" w:type="dxa"/>
          </w:tcPr>
          <w:p w14:paraId="479559AA" w14:textId="77777777" w:rsidR="00FC4D73" w:rsidRPr="00360080" w:rsidRDefault="00FC4D73" w:rsidP="00BE0372">
            <w:pPr>
              <w:rPr>
                <w:rFonts w:ascii="Arial" w:hAnsi="Arial" w:cs="Arial"/>
                <w:sz w:val="20"/>
                <w:szCs w:val="20"/>
              </w:rPr>
            </w:pPr>
            <w:r w:rsidRPr="00360080">
              <w:rPr>
                <w:rFonts w:ascii="Arial" w:hAnsi="Arial" w:cs="Arial"/>
                <w:sz w:val="20"/>
                <w:szCs w:val="20"/>
              </w:rPr>
              <w:t xml:space="preserve">All proposals must be submitted electronically via the Funders &amp; Tenders Portal electronic submission system (accessible via the topic page in the Search Funding &amp; Tenders section). </w:t>
            </w:r>
          </w:p>
          <w:p w14:paraId="046E3D5F" w14:textId="77777777" w:rsidR="00FC4D73" w:rsidRPr="00360080" w:rsidRDefault="00FC4D73" w:rsidP="00BE0372">
            <w:pPr>
              <w:rPr>
                <w:rFonts w:ascii="Arial" w:hAnsi="Arial" w:cs="Arial"/>
                <w:sz w:val="20"/>
                <w:szCs w:val="20"/>
              </w:rPr>
            </w:pPr>
          </w:p>
          <w:p w14:paraId="0FD574C7" w14:textId="77777777" w:rsidR="00FC4D73" w:rsidRPr="00360080" w:rsidRDefault="00FC4D73" w:rsidP="00BE0372">
            <w:pPr>
              <w:rPr>
                <w:rFonts w:ascii="Arial" w:hAnsi="Arial" w:cs="Arial"/>
                <w:sz w:val="20"/>
                <w:szCs w:val="20"/>
              </w:rPr>
            </w:pPr>
            <w:r w:rsidRPr="00360080">
              <w:rPr>
                <w:rFonts w:ascii="Arial" w:hAnsi="Arial" w:cs="Arial"/>
                <w:sz w:val="20"/>
                <w:szCs w:val="20"/>
              </w:rPr>
              <w:t xml:space="preserve">Proposals must be complete and contain all parts and mandatory annexes and supporting documents, e.g. plan for the exploitation and dissemination of the results including communication activities, etc. </w:t>
            </w:r>
          </w:p>
          <w:p w14:paraId="5C966538" w14:textId="77777777" w:rsidR="00FC4D73" w:rsidRPr="00360080" w:rsidRDefault="00FC4D73" w:rsidP="00BE0372">
            <w:pPr>
              <w:rPr>
                <w:rFonts w:ascii="Arial" w:hAnsi="Arial" w:cs="Arial"/>
                <w:sz w:val="20"/>
                <w:szCs w:val="20"/>
              </w:rPr>
            </w:pPr>
            <w:r w:rsidRPr="00360080">
              <w:rPr>
                <w:rFonts w:ascii="Arial" w:hAnsi="Arial" w:cs="Arial"/>
                <w:sz w:val="20"/>
                <w:szCs w:val="20"/>
              </w:rPr>
              <w:t xml:space="preserve">The application form will have two parts: </w:t>
            </w:r>
          </w:p>
          <w:p w14:paraId="440F51BB" w14:textId="77777777" w:rsidR="00FC4D73" w:rsidRPr="00360080" w:rsidRDefault="00FC4D73" w:rsidP="00BE0372">
            <w:pPr>
              <w:rPr>
                <w:rFonts w:ascii="Arial" w:hAnsi="Arial" w:cs="Arial"/>
                <w:sz w:val="20"/>
                <w:szCs w:val="20"/>
              </w:rPr>
            </w:pPr>
          </w:p>
          <w:p w14:paraId="2DE2388B" w14:textId="5A9FEB36" w:rsidR="00FC4D73" w:rsidRPr="00360080" w:rsidRDefault="00FC4D73" w:rsidP="00BE0372">
            <w:pPr>
              <w:rPr>
                <w:rFonts w:ascii="Arial" w:hAnsi="Arial" w:cs="Arial"/>
                <w:sz w:val="20"/>
                <w:szCs w:val="20"/>
              </w:rPr>
            </w:pPr>
            <w:r w:rsidRPr="00360080">
              <w:rPr>
                <w:rFonts w:ascii="Arial" w:hAnsi="Arial" w:cs="Arial"/>
                <w:sz w:val="20"/>
                <w:szCs w:val="20"/>
              </w:rPr>
              <w:t>– Part A (to be filled in directly online) contains administrative information about the applicant organisations (future coordinator and beneficiaries and affiliated entities), the summarised budget for the proposal and call-specific questions;</w:t>
            </w:r>
          </w:p>
          <w:p w14:paraId="373921E1" w14:textId="77777777" w:rsidR="00FC4D73" w:rsidRPr="00360080" w:rsidRDefault="00FC4D73" w:rsidP="00BE0372">
            <w:pPr>
              <w:rPr>
                <w:rFonts w:ascii="Arial" w:hAnsi="Arial" w:cs="Arial"/>
                <w:sz w:val="20"/>
                <w:szCs w:val="20"/>
              </w:rPr>
            </w:pPr>
          </w:p>
          <w:p w14:paraId="51EFCEBB" w14:textId="77777777" w:rsidR="00FC4D73" w:rsidRPr="00360080" w:rsidRDefault="00FC4D73" w:rsidP="00BE0372">
            <w:pPr>
              <w:rPr>
                <w:rFonts w:ascii="Arial" w:hAnsi="Arial" w:cs="Arial"/>
                <w:sz w:val="20"/>
                <w:szCs w:val="20"/>
              </w:rPr>
            </w:pPr>
            <w:r w:rsidRPr="00360080">
              <w:rPr>
                <w:rFonts w:ascii="Arial" w:hAnsi="Arial" w:cs="Arial"/>
                <w:sz w:val="20"/>
                <w:szCs w:val="20"/>
              </w:rPr>
              <w:t xml:space="preserve">– Part B (to be downloaded from the Portal submission system, completed and then assembled and re-uploaded as a PDF in the system) contains the technical description of the project. Annexes and supporting documents will be directly available in the submission system and must be uploaded as PDF files (or other formats allowed by the system). </w:t>
            </w:r>
          </w:p>
          <w:p w14:paraId="1C905DB3" w14:textId="77777777" w:rsidR="00FC4D73" w:rsidRPr="00360080" w:rsidRDefault="00FC4D73" w:rsidP="00BE0372">
            <w:pPr>
              <w:rPr>
                <w:rFonts w:ascii="Arial" w:hAnsi="Arial" w:cs="Arial"/>
                <w:sz w:val="20"/>
                <w:szCs w:val="20"/>
              </w:rPr>
            </w:pPr>
          </w:p>
          <w:p w14:paraId="3CC089C2" w14:textId="77777777" w:rsidR="00FC4D73" w:rsidRPr="00360080" w:rsidRDefault="00FC4D73" w:rsidP="00BE0372">
            <w:pPr>
              <w:rPr>
                <w:rFonts w:ascii="Arial" w:hAnsi="Arial" w:cs="Arial"/>
                <w:sz w:val="20"/>
                <w:szCs w:val="20"/>
              </w:rPr>
            </w:pPr>
            <w:r w:rsidRPr="00360080">
              <w:rPr>
                <w:rFonts w:ascii="Arial" w:hAnsi="Arial" w:cs="Arial"/>
                <w:sz w:val="20"/>
                <w:szCs w:val="20"/>
              </w:rPr>
              <w:t xml:space="preserve">Proposals should be designed to stay as close as possible to the award criteria (see Annex D above). The application form will help to achieve this. </w:t>
            </w:r>
          </w:p>
          <w:p w14:paraId="40FFC9DC" w14:textId="77777777" w:rsidR="00FC4D73" w:rsidRPr="00360080" w:rsidRDefault="00FC4D73" w:rsidP="00BE0372">
            <w:pPr>
              <w:rPr>
                <w:rFonts w:ascii="Arial" w:hAnsi="Arial" w:cs="Arial"/>
                <w:sz w:val="20"/>
                <w:szCs w:val="20"/>
              </w:rPr>
            </w:pPr>
          </w:p>
          <w:p w14:paraId="1BCD2E05" w14:textId="77777777" w:rsidR="00FC4D73" w:rsidRPr="00360080" w:rsidRDefault="00FC4D73" w:rsidP="00BE0372">
            <w:pPr>
              <w:rPr>
                <w:rFonts w:ascii="Arial" w:hAnsi="Arial" w:cs="Arial"/>
                <w:sz w:val="20"/>
                <w:szCs w:val="20"/>
              </w:rPr>
            </w:pPr>
            <w:r w:rsidRPr="00360080">
              <w:rPr>
                <w:rFonts w:ascii="Arial" w:hAnsi="Arial" w:cs="Arial"/>
                <w:sz w:val="20"/>
                <w:szCs w:val="20"/>
              </w:rPr>
              <w:lastRenderedPageBreak/>
              <w:t xml:space="preserve">When submitting the proposal, the coordinator will have to confirm that they have the mandate to act for all applicants. Moreover, they will have to confirm that the information in the application is correct and complete and that all participants comply with the conditions for receiving EU funding (especially eligibility, financial and operational capacity, exclusion, etc.). Before signing the grant, each participant will have to confirm this again by signing a declaration of honour. Proposals not complying with these requirements will be rejected. </w:t>
            </w:r>
          </w:p>
          <w:p w14:paraId="0FEAEA9C" w14:textId="77777777" w:rsidR="00FC4D73" w:rsidRPr="00360080" w:rsidRDefault="00FC4D73" w:rsidP="00BE0372">
            <w:pPr>
              <w:rPr>
                <w:rFonts w:ascii="Arial" w:hAnsi="Arial" w:cs="Arial"/>
                <w:sz w:val="20"/>
                <w:szCs w:val="20"/>
              </w:rPr>
            </w:pPr>
          </w:p>
          <w:p w14:paraId="57CF30AA" w14:textId="77777777" w:rsidR="00FC4D73" w:rsidRPr="00360080" w:rsidRDefault="00FC4D73" w:rsidP="00BE0372">
            <w:pPr>
              <w:rPr>
                <w:rFonts w:ascii="Arial" w:hAnsi="Arial" w:cs="Arial"/>
                <w:sz w:val="20"/>
                <w:szCs w:val="20"/>
              </w:rPr>
            </w:pPr>
            <w:r w:rsidRPr="00360080">
              <w:rPr>
                <w:rFonts w:ascii="Arial" w:hAnsi="Arial" w:cs="Arial"/>
                <w:sz w:val="20"/>
                <w:szCs w:val="20"/>
              </w:rPr>
              <w:t xml:space="preserve">For lump sum grants proposals, the estimated budget must be described in a detailed budget table. This will be used as a basis for justifying and/or fixing the lump sum amount. As the lump sum must be an approximation of the costs actually incurred, the costs included in this detailed budget table must comply with the basic eligibility conditions for EU actual cost grants (see AGA — Annotated Grant Agreement, Article 6). This is particularly important for purchases and subcontracting, which must ensure best value for money (or, if appropriate, the lowest price) and be free from any conflicts of interest. If the budget table contains ineligible costs, the grants may be reduced (even later on during implementation of the project or after they end). Exceptionally, the Decision authorising the use of lump sum funding for a specific action might specify that a detailed budget table is not required. </w:t>
            </w:r>
          </w:p>
          <w:p w14:paraId="60A114B3" w14:textId="77777777" w:rsidR="00FC4D73" w:rsidRPr="00360080" w:rsidRDefault="00FC4D73" w:rsidP="00BE0372">
            <w:pPr>
              <w:rPr>
                <w:rFonts w:ascii="Arial" w:hAnsi="Arial" w:cs="Arial"/>
                <w:sz w:val="20"/>
                <w:szCs w:val="20"/>
              </w:rPr>
            </w:pPr>
          </w:p>
          <w:p w14:paraId="2158D41E" w14:textId="428AC47F" w:rsidR="00BE0372" w:rsidRPr="00360080" w:rsidRDefault="00FC4D73" w:rsidP="00BE0372">
            <w:pPr>
              <w:rPr>
                <w:rFonts w:ascii="Arial" w:hAnsi="Arial" w:cs="Arial"/>
                <w:color w:val="D9D9D9" w:themeColor="background1" w:themeShade="D9"/>
                <w:sz w:val="20"/>
                <w:szCs w:val="20"/>
              </w:rPr>
            </w:pPr>
            <w:r w:rsidRPr="00360080">
              <w:rPr>
                <w:rFonts w:ascii="Arial" w:hAnsi="Arial" w:cs="Arial"/>
                <w:sz w:val="20"/>
                <w:szCs w:val="20"/>
              </w:rPr>
              <w:t>Applicants may be asked at a later stage for further documents (for legal entity validation, financial capacity check, bank account validation, etc.)</w:t>
            </w:r>
          </w:p>
        </w:tc>
      </w:tr>
      <w:tr w:rsidR="00FC4D73" w:rsidRPr="00360080" w14:paraId="7D509980" w14:textId="77777777" w:rsidTr="00B80ACE">
        <w:tc>
          <w:tcPr>
            <w:tcW w:w="1413" w:type="dxa"/>
          </w:tcPr>
          <w:p w14:paraId="715E60A0" w14:textId="77777777" w:rsidR="00FC4D73" w:rsidRPr="00360080" w:rsidRDefault="00FC4D73" w:rsidP="00FC4D73">
            <w:pPr>
              <w:rPr>
                <w:rFonts w:ascii="Arial" w:hAnsi="Arial" w:cs="Arial"/>
                <w:sz w:val="20"/>
                <w:szCs w:val="20"/>
              </w:rPr>
            </w:pPr>
            <w:r w:rsidRPr="00360080">
              <w:rPr>
                <w:rFonts w:ascii="Arial" w:hAnsi="Arial" w:cs="Arial"/>
                <w:sz w:val="20"/>
                <w:szCs w:val="20"/>
              </w:rPr>
              <w:lastRenderedPageBreak/>
              <w:t>Evaluation criteria</w:t>
            </w:r>
          </w:p>
        </w:tc>
        <w:tc>
          <w:tcPr>
            <w:tcW w:w="8781" w:type="dxa"/>
          </w:tcPr>
          <w:p w14:paraId="08BFD9B2" w14:textId="77777777" w:rsidR="00FC4D73" w:rsidRPr="00360080" w:rsidRDefault="00FC4D73" w:rsidP="00FC4D73">
            <w:pPr>
              <w:rPr>
                <w:rFonts w:ascii="Arial" w:hAnsi="Arial" w:cs="Arial"/>
                <w:sz w:val="20"/>
                <w:szCs w:val="20"/>
              </w:rPr>
            </w:pPr>
            <w:r w:rsidRPr="00360080">
              <w:rPr>
                <w:rFonts w:ascii="Arial" w:hAnsi="Arial" w:cs="Arial"/>
                <w:sz w:val="20"/>
                <w:szCs w:val="20"/>
              </w:rPr>
              <w:t xml:space="preserve">Award criteria: </w:t>
            </w:r>
          </w:p>
          <w:p w14:paraId="58B6F136" w14:textId="430F2A20" w:rsidR="00FC4D73" w:rsidRPr="00360080" w:rsidRDefault="00000000" w:rsidP="00FC4D73">
            <w:pPr>
              <w:rPr>
                <w:rFonts w:ascii="Arial" w:hAnsi="Arial" w:cs="Arial"/>
                <w:color w:val="D9D9D9" w:themeColor="background1" w:themeShade="D9"/>
                <w:sz w:val="20"/>
                <w:szCs w:val="20"/>
              </w:rPr>
            </w:pPr>
            <w:hyperlink r:id="rId14" w:history="1">
              <w:r w:rsidR="00FC4D73" w:rsidRPr="00360080">
                <w:rPr>
                  <w:rStyle w:val="Hypertextovodkaz"/>
                  <w:rFonts w:ascii="Arial" w:hAnsi="Arial" w:cs="Arial"/>
                  <w:sz w:val="20"/>
                  <w:szCs w:val="20"/>
                </w:rPr>
                <w:t>wp-13-general-annexes_horizon-2023-2024_en.pdf (europa.eu)</w:t>
              </w:r>
            </w:hyperlink>
          </w:p>
        </w:tc>
      </w:tr>
      <w:tr w:rsidR="00FC4D73" w:rsidRPr="00360080" w14:paraId="31403145" w14:textId="77777777" w:rsidTr="00B80ACE">
        <w:tc>
          <w:tcPr>
            <w:tcW w:w="1413" w:type="dxa"/>
          </w:tcPr>
          <w:p w14:paraId="181DD17E" w14:textId="77777777" w:rsidR="00FC4D73" w:rsidRPr="00360080" w:rsidRDefault="00FC4D73" w:rsidP="00FC4D73">
            <w:pPr>
              <w:rPr>
                <w:rFonts w:ascii="Arial" w:hAnsi="Arial" w:cs="Arial"/>
                <w:sz w:val="20"/>
                <w:szCs w:val="20"/>
              </w:rPr>
            </w:pPr>
            <w:r w:rsidRPr="00360080">
              <w:rPr>
                <w:rFonts w:ascii="Arial" w:hAnsi="Arial" w:cs="Arial"/>
                <w:sz w:val="20"/>
                <w:szCs w:val="20"/>
              </w:rPr>
              <w:t>Conditions &amp; restrictions</w:t>
            </w:r>
          </w:p>
        </w:tc>
        <w:tc>
          <w:tcPr>
            <w:tcW w:w="8781" w:type="dxa"/>
          </w:tcPr>
          <w:p w14:paraId="42EDA0D7" w14:textId="37CFEAC3" w:rsidR="00FC4D73" w:rsidRPr="00360080" w:rsidRDefault="00FC4D73" w:rsidP="00FC4D73">
            <w:pPr>
              <w:rPr>
                <w:rFonts w:ascii="Arial" w:hAnsi="Arial" w:cs="Arial"/>
                <w:color w:val="D9D9D9" w:themeColor="background1" w:themeShade="D9"/>
                <w:sz w:val="20"/>
                <w:szCs w:val="20"/>
              </w:rPr>
            </w:pPr>
          </w:p>
        </w:tc>
      </w:tr>
      <w:tr w:rsidR="00FC4D73" w:rsidRPr="00360080" w14:paraId="583A7380" w14:textId="77777777" w:rsidTr="00B80ACE">
        <w:tc>
          <w:tcPr>
            <w:tcW w:w="1413" w:type="dxa"/>
          </w:tcPr>
          <w:p w14:paraId="06AF03C1" w14:textId="77777777" w:rsidR="00FC4D73" w:rsidRPr="00360080" w:rsidRDefault="00FC4D73" w:rsidP="00FC4D73">
            <w:pPr>
              <w:rPr>
                <w:rFonts w:ascii="Arial" w:hAnsi="Arial" w:cs="Arial"/>
                <w:sz w:val="20"/>
                <w:szCs w:val="20"/>
              </w:rPr>
            </w:pPr>
            <w:r w:rsidRPr="00360080">
              <w:rPr>
                <w:rFonts w:ascii="Arial" w:hAnsi="Arial" w:cs="Arial"/>
                <w:sz w:val="20"/>
                <w:szCs w:val="20"/>
              </w:rPr>
              <w:t>Call workshop</w:t>
            </w:r>
          </w:p>
        </w:tc>
        <w:tc>
          <w:tcPr>
            <w:tcW w:w="8781" w:type="dxa"/>
          </w:tcPr>
          <w:p w14:paraId="032FB4DF" w14:textId="55DF747D" w:rsidR="00FC4D73" w:rsidRPr="00360080" w:rsidRDefault="00FC4D73" w:rsidP="00FC4D73">
            <w:pPr>
              <w:rPr>
                <w:rFonts w:ascii="Arial" w:hAnsi="Arial" w:cs="Arial"/>
                <w:color w:val="D9D9D9" w:themeColor="background1" w:themeShade="D9"/>
                <w:sz w:val="20"/>
                <w:szCs w:val="20"/>
              </w:rPr>
            </w:pPr>
          </w:p>
        </w:tc>
      </w:tr>
      <w:tr w:rsidR="00FC4D73" w:rsidRPr="00360080" w14:paraId="55F3578F" w14:textId="77777777" w:rsidTr="00B80ACE">
        <w:tc>
          <w:tcPr>
            <w:tcW w:w="1413" w:type="dxa"/>
          </w:tcPr>
          <w:p w14:paraId="556DE0F3" w14:textId="77777777" w:rsidR="00FC4D73" w:rsidRPr="00360080" w:rsidRDefault="00FC4D73" w:rsidP="00FC4D73">
            <w:pPr>
              <w:rPr>
                <w:rFonts w:ascii="Arial" w:hAnsi="Arial" w:cs="Arial"/>
                <w:sz w:val="20"/>
                <w:szCs w:val="20"/>
              </w:rPr>
            </w:pPr>
            <w:r w:rsidRPr="00360080">
              <w:rPr>
                <w:rFonts w:ascii="Arial" w:hAnsi="Arial" w:cs="Arial"/>
                <w:sz w:val="20"/>
                <w:szCs w:val="20"/>
              </w:rPr>
              <w:t>SCI contact</w:t>
            </w:r>
          </w:p>
        </w:tc>
        <w:tc>
          <w:tcPr>
            <w:tcW w:w="8781" w:type="dxa"/>
          </w:tcPr>
          <w:p w14:paraId="735BA6E3" w14:textId="77777777" w:rsidR="00FC4D73" w:rsidRPr="00360080" w:rsidRDefault="00FC4D73" w:rsidP="00FC4D73">
            <w:pPr>
              <w:rPr>
                <w:rFonts w:ascii="Arial" w:hAnsi="Arial" w:cs="Arial"/>
                <w:sz w:val="20"/>
                <w:szCs w:val="20"/>
              </w:rPr>
            </w:pPr>
            <w:r w:rsidRPr="00360080">
              <w:rPr>
                <w:rFonts w:ascii="Arial" w:hAnsi="Arial" w:cs="Arial"/>
                <w:sz w:val="20"/>
                <w:szCs w:val="20"/>
              </w:rPr>
              <w:t xml:space="preserve">Please inform the Project Support about your intention to apply. </w:t>
            </w:r>
          </w:p>
          <w:p w14:paraId="1E1E3FCA" w14:textId="77777777" w:rsidR="00FC4D73" w:rsidRPr="00360080" w:rsidRDefault="00FC4D73" w:rsidP="00FC4D73">
            <w:pPr>
              <w:rPr>
                <w:rFonts w:ascii="Arial" w:hAnsi="Arial" w:cs="Arial"/>
                <w:sz w:val="20"/>
                <w:szCs w:val="20"/>
              </w:rPr>
            </w:pPr>
            <w:r w:rsidRPr="00360080">
              <w:rPr>
                <w:rFonts w:ascii="Arial" w:hAnsi="Arial" w:cs="Arial"/>
                <w:sz w:val="20"/>
                <w:szCs w:val="20"/>
              </w:rPr>
              <w:t>Do not hesitate anytime to contact us for consulting, discussion or help.</w:t>
            </w:r>
          </w:p>
          <w:p w14:paraId="0981DC76" w14:textId="77777777" w:rsidR="00FC4D73" w:rsidRPr="00360080" w:rsidRDefault="00FC4D73" w:rsidP="00FC4D73">
            <w:pPr>
              <w:rPr>
                <w:rFonts w:ascii="Arial" w:hAnsi="Arial" w:cs="Arial"/>
                <w:sz w:val="20"/>
                <w:szCs w:val="20"/>
              </w:rPr>
            </w:pPr>
            <w:r w:rsidRPr="00360080">
              <w:rPr>
                <w:rFonts w:ascii="Arial" w:hAnsi="Arial" w:cs="Arial"/>
                <w:sz w:val="20"/>
                <w:szCs w:val="20"/>
              </w:rPr>
              <w:t xml:space="preserve">+420 38 777 5562, </w:t>
            </w:r>
            <w:hyperlink r:id="rId15" w:history="1">
              <w:r w:rsidRPr="00360080">
                <w:rPr>
                  <w:rStyle w:val="Hypertextovodkaz"/>
                  <w:rFonts w:ascii="Arial" w:hAnsi="Arial" w:cs="Arial"/>
                  <w:color w:val="auto"/>
                  <w:sz w:val="20"/>
                  <w:szCs w:val="20"/>
                </w:rPr>
                <w:t>projects@prf.jcu.cz</w:t>
              </w:r>
            </w:hyperlink>
            <w:r w:rsidRPr="00360080">
              <w:rPr>
                <w:rFonts w:ascii="Arial" w:hAnsi="Arial" w:cs="Arial"/>
                <w:sz w:val="20"/>
                <w:szCs w:val="20"/>
              </w:rPr>
              <w:t xml:space="preserve"> </w:t>
            </w:r>
          </w:p>
        </w:tc>
      </w:tr>
      <w:tr w:rsidR="00FC4D73" w:rsidRPr="00360080" w14:paraId="27752BDD" w14:textId="77777777" w:rsidTr="00B80ACE">
        <w:tc>
          <w:tcPr>
            <w:tcW w:w="1413" w:type="dxa"/>
          </w:tcPr>
          <w:p w14:paraId="7372E7BB" w14:textId="77777777" w:rsidR="00FC4D73" w:rsidRPr="00360080" w:rsidRDefault="00FC4D73" w:rsidP="00FC4D73">
            <w:pPr>
              <w:rPr>
                <w:rFonts w:ascii="Arial" w:hAnsi="Arial" w:cs="Arial"/>
                <w:sz w:val="20"/>
                <w:szCs w:val="20"/>
              </w:rPr>
            </w:pPr>
            <w:r w:rsidRPr="00360080">
              <w:rPr>
                <w:rFonts w:ascii="Arial" w:hAnsi="Arial" w:cs="Arial"/>
                <w:sz w:val="20"/>
                <w:szCs w:val="20"/>
              </w:rPr>
              <w:t>Download documents</w:t>
            </w:r>
          </w:p>
        </w:tc>
        <w:tc>
          <w:tcPr>
            <w:tcW w:w="8781" w:type="dxa"/>
          </w:tcPr>
          <w:p w14:paraId="5ECADC60" w14:textId="610E7913" w:rsidR="00FC4D73" w:rsidRPr="00360080" w:rsidRDefault="00000000" w:rsidP="00FC4D73">
            <w:pPr>
              <w:rPr>
                <w:rFonts w:ascii="Arial" w:hAnsi="Arial" w:cs="Arial"/>
                <w:color w:val="D9D9D9" w:themeColor="background1" w:themeShade="D9"/>
                <w:sz w:val="20"/>
                <w:szCs w:val="20"/>
              </w:rPr>
            </w:pPr>
            <w:hyperlink r:id="rId16" w:history="1">
              <w:r w:rsidR="00FC4D73" w:rsidRPr="00360080">
                <w:rPr>
                  <w:rStyle w:val="Hypertextovodkaz"/>
                  <w:rFonts w:ascii="Arial" w:hAnsi="Arial" w:cs="Arial"/>
                  <w:sz w:val="20"/>
                  <w:szCs w:val="20"/>
                </w:rPr>
                <w:t>wp-13-general-annexes_horizon-2023-2024_en.pdf (europa.eu)</w:t>
              </w:r>
            </w:hyperlink>
          </w:p>
        </w:tc>
      </w:tr>
    </w:tbl>
    <w:p w14:paraId="552080B8" w14:textId="77777777" w:rsidR="00B511C2" w:rsidRPr="00360080" w:rsidRDefault="00B511C2" w:rsidP="00EE0998">
      <w:pPr>
        <w:spacing w:after="0" w:line="240" w:lineRule="auto"/>
        <w:rPr>
          <w:rFonts w:ascii="Arial" w:hAnsi="Arial" w:cs="Arial"/>
          <w:color w:val="D9D9D9" w:themeColor="background1" w:themeShade="D9"/>
          <w:sz w:val="20"/>
          <w:szCs w:val="20"/>
          <w:lang w:val="cs-CZ"/>
        </w:rPr>
      </w:pPr>
    </w:p>
    <w:sectPr w:rsidR="00B511C2" w:rsidRPr="00360080" w:rsidSect="00DB25BA">
      <w:footerReference w:type="default" r:id="rId17"/>
      <w:type w:val="continuous"/>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6F40C" w14:textId="77777777" w:rsidR="00B202D2" w:rsidRDefault="00B202D2" w:rsidP="00790B35">
      <w:pPr>
        <w:spacing w:after="0" w:line="240" w:lineRule="auto"/>
      </w:pPr>
      <w:r>
        <w:separator/>
      </w:r>
    </w:p>
  </w:endnote>
  <w:endnote w:type="continuationSeparator" w:id="0">
    <w:p w14:paraId="798FB6A5" w14:textId="77777777" w:rsidR="00B202D2" w:rsidRDefault="00B202D2" w:rsidP="00790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405485"/>
      <w:docPartObj>
        <w:docPartGallery w:val="Page Numbers (Bottom of Page)"/>
        <w:docPartUnique/>
      </w:docPartObj>
    </w:sdtPr>
    <w:sdtContent>
      <w:p w14:paraId="48995E71" w14:textId="77777777" w:rsidR="008B4090" w:rsidRDefault="008B4090">
        <w:pPr>
          <w:pStyle w:val="Zpat"/>
          <w:jc w:val="center"/>
        </w:pPr>
        <w:r>
          <w:fldChar w:fldCharType="begin"/>
        </w:r>
        <w:r>
          <w:instrText>PAGE   \* MERGEFORMAT</w:instrText>
        </w:r>
        <w:r>
          <w:fldChar w:fldCharType="separate"/>
        </w:r>
        <w:r w:rsidRPr="00FA562C">
          <w:rPr>
            <w:noProof/>
            <w:lang w:val="cs-CZ"/>
          </w:rPr>
          <w:t>1</w:t>
        </w:r>
        <w:r>
          <w:fldChar w:fldCharType="end"/>
        </w:r>
      </w:p>
    </w:sdtContent>
  </w:sdt>
  <w:p w14:paraId="3EC90345" w14:textId="77777777" w:rsidR="008B4090" w:rsidRDefault="008B409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34283" w14:textId="77777777" w:rsidR="00B202D2" w:rsidRDefault="00B202D2" w:rsidP="00790B35">
      <w:pPr>
        <w:spacing w:after="0" w:line="240" w:lineRule="auto"/>
      </w:pPr>
      <w:r>
        <w:separator/>
      </w:r>
    </w:p>
  </w:footnote>
  <w:footnote w:type="continuationSeparator" w:id="0">
    <w:p w14:paraId="17C9A679" w14:textId="77777777" w:rsidR="00B202D2" w:rsidRDefault="00B202D2" w:rsidP="00790B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27B4"/>
    <w:multiLevelType w:val="hybridMultilevel"/>
    <w:tmpl w:val="431E6B2E"/>
    <w:lvl w:ilvl="0" w:tplc="FC946306">
      <w:start w:val="4"/>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E6B8C"/>
    <w:multiLevelType w:val="hybridMultilevel"/>
    <w:tmpl w:val="9C46B698"/>
    <w:lvl w:ilvl="0" w:tplc="7B9C9EE8">
      <w:start w:val="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F750A"/>
    <w:multiLevelType w:val="multilevel"/>
    <w:tmpl w:val="B59C9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20639"/>
    <w:multiLevelType w:val="hybridMultilevel"/>
    <w:tmpl w:val="C45EFAAE"/>
    <w:lvl w:ilvl="0" w:tplc="AB06A7C6">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D5062"/>
    <w:multiLevelType w:val="hybridMultilevel"/>
    <w:tmpl w:val="0E4CE6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537D7"/>
    <w:multiLevelType w:val="multilevel"/>
    <w:tmpl w:val="EC54D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011698"/>
    <w:multiLevelType w:val="hybridMultilevel"/>
    <w:tmpl w:val="2A56A286"/>
    <w:lvl w:ilvl="0" w:tplc="3FD2EAA4">
      <w:start w:val="2017"/>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31E22"/>
    <w:multiLevelType w:val="hybridMultilevel"/>
    <w:tmpl w:val="D41AA552"/>
    <w:lvl w:ilvl="0" w:tplc="757A5240">
      <w:start w:val="6"/>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270479"/>
    <w:multiLevelType w:val="multilevel"/>
    <w:tmpl w:val="7F02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EC3C74"/>
    <w:multiLevelType w:val="hybridMultilevel"/>
    <w:tmpl w:val="E166C860"/>
    <w:lvl w:ilvl="0" w:tplc="10A6338C">
      <w:start w:val="3"/>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DF2779"/>
    <w:multiLevelType w:val="multilevel"/>
    <w:tmpl w:val="F8EA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07022C"/>
    <w:multiLevelType w:val="hybridMultilevel"/>
    <w:tmpl w:val="8A020C6C"/>
    <w:lvl w:ilvl="0" w:tplc="FB8AA2A8">
      <w:start w:val="2017"/>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29397B"/>
    <w:multiLevelType w:val="hybridMultilevel"/>
    <w:tmpl w:val="F2AAFC7C"/>
    <w:lvl w:ilvl="0" w:tplc="7966A88E">
      <w:start w:val="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973A83"/>
    <w:multiLevelType w:val="hybridMultilevel"/>
    <w:tmpl w:val="E620D9DA"/>
    <w:lvl w:ilvl="0" w:tplc="33BC2ADE">
      <w:start w:val="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7A3CBE"/>
    <w:multiLevelType w:val="hybridMultilevel"/>
    <w:tmpl w:val="5776C6CC"/>
    <w:lvl w:ilvl="0" w:tplc="ABE269EE">
      <w:start w:val="965"/>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AB6952"/>
    <w:multiLevelType w:val="hybridMultilevel"/>
    <w:tmpl w:val="9F4A8A8A"/>
    <w:lvl w:ilvl="0" w:tplc="F006CDB8">
      <w:start w:val="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A363D9"/>
    <w:multiLevelType w:val="hybridMultilevel"/>
    <w:tmpl w:val="B8F625EC"/>
    <w:lvl w:ilvl="0" w:tplc="63A2B3D6">
      <w:start w:val="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69033F"/>
    <w:multiLevelType w:val="hybridMultilevel"/>
    <w:tmpl w:val="716EE8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B414F8"/>
    <w:multiLevelType w:val="multilevel"/>
    <w:tmpl w:val="3D680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9150155">
    <w:abstractNumId w:val="14"/>
  </w:num>
  <w:num w:numId="2" w16cid:durableId="366563457">
    <w:abstractNumId w:val="6"/>
  </w:num>
  <w:num w:numId="3" w16cid:durableId="550072149">
    <w:abstractNumId w:val="3"/>
  </w:num>
  <w:num w:numId="4" w16cid:durableId="1581988761">
    <w:abstractNumId w:val="11"/>
  </w:num>
  <w:num w:numId="5" w16cid:durableId="1476920263">
    <w:abstractNumId w:val="0"/>
  </w:num>
  <w:num w:numId="6" w16cid:durableId="1357929120">
    <w:abstractNumId w:val="7"/>
  </w:num>
  <w:num w:numId="7" w16cid:durableId="14884996">
    <w:abstractNumId w:val="16"/>
  </w:num>
  <w:num w:numId="8" w16cid:durableId="1708331343">
    <w:abstractNumId w:val="15"/>
  </w:num>
  <w:num w:numId="9" w16cid:durableId="715012329">
    <w:abstractNumId w:val="1"/>
  </w:num>
  <w:num w:numId="10" w16cid:durableId="166360598">
    <w:abstractNumId w:val="12"/>
  </w:num>
  <w:num w:numId="11" w16cid:durableId="929236734">
    <w:abstractNumId w:val="9"/>
  </w:num>
  <w:num w:numId="12" w16cid:durableId="1798645405">
    <w:abstractNumId w:val="13"/>
  </w:num>
  <w:num w:numId="13" w16cid:durableId="2122869531">
    <w:abstractNumId w:val="17"/>
  </w:num>
  <w:num w:numId="14" w16cid:durableId="866455155">
    <w:abstractNumId w:val="4"/>
  </w:num>
  <w:num w:numId="15" w16cid:durableId="1355886426">
    <w:abstractNumId w:val="8"/>
  </w:num>
  <w:num w:numId="16" w16cid:durableId="927890005">
    <w:abstractNumId w:val="10"/>
  </w:num>
  <w:num w:numId="17" w16cid:durableId="1675648637">
    <w:abstractNumId w:val="18"/>
  </w:num>
  <w:num w:numId="18" w16cid:durableId="1740441260">
    <w:abstractNumId w:val="5"/>
  </w:num>
  <w:num w:numId="19" w16cid:durableId="478108850">
    <w:abstractNumId w:val="5"/>
  </w:num>
  <w:num w:numId="20" w16cid:durableId="478108850">
    <w:abstractNumId w:val="5"/>
  </w:num>
  <w:num w:numId="21" w16cid:durableId="478108850">
    <w:abstractNumId w:val="5"/>
  </w:num>
  <w:num w:numId="22" w16cid:durableId="478108850">
    <w:abstractNumId w:val="5"/>
  </w:num>
  <w:num w:numId="23" w16cid:durableId="1134711173">
    <w:abstractNumId w:val="2"/>
  </w:num>
  <w:num w:numId="24" w16cid:durableId="873352707">
    <w:abstractNumId w:val="2"/>
    <w:lvlOverride w:ilvl="0"/>
  </w:num>
  <w:num w:numId="25" w16cid:durableId="873352707">
    <w:abstractNumId w:val="2"/>
    <w:lvlOverride w:ilvl="0"/>
  </w:num>
  <w:num w:numId="26" w16cid:durableId="873352707">
    <w:abstractNumId w:val="2"/>
    <w:lvlOverride w:ilvl="0"/>
  </w:num>
  <w:num w:numId="27" w16cid:durableId="873352707">
    <w:abstractNumId w:val="2"/>
    <w:lvlOverride w:ilvl="0"/>
  </w:num>
  <w:num w:numId="28" w16cid:durableId="873352707">
    <w:abstractNumId w:val="2"/>
    <w:lvlOverride w:ilvl="0"/>
  </w:num>
  <w:num w:numId="29" w16cid:durableId="873352707">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8B"/>
    <w:rsid w:val="00002BF3"/>
    <w:rsid w:val="00004909"/>
    <w:rsid w:val="000069E9"/>
    <w:rsid w:val="00011B46"/>
    <w:rsid w:val="00013C73"/>
    <w:rsid w:val="000143EB"/>
    <w:rsid w:val="00014444"/>
    <w:rsid w:val="00020F80"/>
    <w:rsid w:val="0002110C"/>
    <w:rsid w:val="00022B5F"/>
    <w:rsid w:val="00023567"/>
    <w:rsid w:val="000258DF"/>
    <w:rsid w:val="00032B50"/>
    <w:rsid w:val="00036C7B"/>
    <w:rsid w:val="0004101B"/>
    <w:rsid w:val="00042987"/>
    <w:rsid w:val="00045337"/>
    <w:rsid w:val="00046CE8"/>
    <w:rsid w:val="0004718B"/>
    <w:rsid w:val="0005190F"/>
    <w:rsid w:val="00052C4E"/>
    <w:rsid w:val="00053DA9"/>
    <w:rsid w:val="00060D35"/>
    <w:rsid w:val="00060F81"/>
    <w:rsid w:val="0006574F"/>
    <w:rsid w:val="00067434"/>
    <w:rsid w:val="00067879"/>
    <w:rsid w:val="0007029D"/>
    <w:rsid w:val="00081DB2"/>
    <w:rsid w:val="00082D2A"/>
    <w:rsid w:val="00083250"/>
    <w:rsid w:val="000837FD"/>
    <w:rsid w:val="00083F7E"/>
    <w:rsid w:val="0008659D"/>
    <w:rsid w:val="0008781B"/>
    <w:rsid w:val="000905B0"/>
    <w:rsid w:val="00093FE0"/>
    <w:rsid w:val="00094ADD"/>
    <w:rsid w:val="000973AD"/>
    <w:rsid w:val="000A08FB"/>
    <w:rsid w:val="000A1C25"/>
    <w:rsid w:val="000A5557"/>
    <w:rsid w:val="000A58A4"/>
    <w:rsid w:val="000A62EE"/>
    <w:rsid w:val="000B6BD9"/>
    <w:rsid w:val="000C008B"/>
    <w:rsid w:val="000C0611"/>
    <w:rsid w:val="000C23BB"/>
    <w:rsid w:val="000C4611"/>
    <w:rsid w:val="000C4F55"/>
    <w:rsid w:val="000C5DCE"/>
    <w:rsid w:val="000C6E55"/>
    <w:rsid w:val="000C76F3"/>
    <w:rsid w:val="000D02F4"/>
    <w:rsid w:val="000D0CD2"/>
    <w:rsid w:val="000D7B80"/>
    <w:rsid w:val="000E1611"/>
    <w:rsid w:val="000E40C3"/>
    <w:rsid w:val="000E4F48"/>
    <w:rsid w:val="000E65B3"/>
    <w:rsid w:val="000E71C3"/>
    <w:rsid w:val="000F0E58"/>
    <w:rsid w:val="000F209E"/>
    <w:rsid w:val="000F2EED"/>
    <w:rsid w:val="000F73F3"/>
    <w:rsid w:val="000F77EA"/>
    <w:rsid w:val="000F7D1F"/>
    <w:rsid w:val="00102824"/>
    <w:rsid w:val="00102D55"/>
    <w:rsid w:val="00102E9E"/>
    <w:rsid w:val="00106E63"/>
    <w:rsid w:val="00115C19"/>
    <w:rsid w:val="00122D8C"/>
    <w:rsid w:val="0012686D"/>
    <w:rsid w:val="00131065"/>
    <w:rsid w:val="001330E6"/>
    <w:rsid w:val="001332C8"/>
    <w:rsid w:val="00134FCB"/>
    <w:rsid w:val="001415A6"/>
    <w:rsid w:val="0014681C"/>
    <w:rsid w:val="00146D63"/>
    <w:rsid w:val="00153ED4"/>
    <w:rsid w:val="001544DF"/>
    <w:rsid w:val="001550D2"/>
    <w:rsid w:val="00157524"/>
    <w:rsid w:val="00163DCC"/>
    <w:rsid w:val="001644A2"/>
    <w:rsid w:val="00165D41"/>
    <w:rsid w:val="00166882"/>
    <w:rsid w:val="00171378"/>
    <w:rsid w:val="00171581"/>
    <w:rsid w:val="00174C1E"/>
    <w:rsid w:val="00181689"/>
    <w:rsid w:val="00184EA2"/>
    <w:rsid w:val="00187F03"/>
    <w:rsid w:val="001939D3"/>
    <w:rsid w:val="001A0E46"/>
    <w:rsid w:val="001A0F28"/>
    <w:rsid w:val="001A2502"/>
    <w:rsid w:val="001A290F"/>
    <w:rsid w:val="001A41CE"/>
    <w:rsid w:val="001A4354"/>
    <w:rsid w:val="001A6546"/>
    <w:rsid w:val="001B27AD"/>
    <w:rsid w:val="001B388C"/>
    <w:rsid w:val="001B6354"/>
    <w:rsid w:val="001B79D8"/>
    <w:rsid w:val="001C0B32"/>
    <w:rsid w:val="001C18F0"/>
    <w:rsid w:val="001C426E"/>
    <w:rsid w:val="001D4E9D"/>
    <w:rsid w:val="001D6B3F"/>
    <w:rsid w:val="001E0D7F"/>
    <w:rsid w:val="001E0E56"/>
    <w:rsid w:val="001E166D"/>
    <w:rsid w:val="001E3EDE"/>
    <w:rsid w:val="001E6430"/>
    <w:rsid w:val="001F0126"/>
    <w:rsid w:val="001F21C9"/>
    <w:rsid w:val="001F6AFD"/>
    <w:rsid w:val="001F7CF5"/>
    <w:rsid w:val="00202403"/>
    <w:rsid w:val="00203EF4"/>
    <w:rsid w:val="002049AE"/>
    <w:rsid w:val="002127B3"/>
    <w:rsid w:val="002135C6"/>
    <w:rsid w:val="00215332"/>
    <w:rsid w:val="00216881"/>
    <w:rsid w:val="0022022B"/>
    <w:rsid w:val="002205B2"/>
    <w:rsid w:val="00224470"/>
    <w:rsid w:val="0022756B"/>
    <w:rsid w:val="00230225"/>
    <w:rsid w:val="0023101C"/>
    <w:rsid w:val="002311BF"/>
    <w:rsid w:val="00232D28"/>
    <w:rsid w:val="002430A8"/>
    <w:rsid w:val="00260CCD"/>
    <w:rsid w:val="00262487"/>
    <w:rsid w:val="002647CA"/>
    <w:rsid w:val="002658DF"/>
    <w:rsid w:val="00272FB6"/>
    <w:rsid w:val="002733B5"/>
    <w:rsid w:val="002748CF"/>
    <w:rsid w:val="00274C25"/>
    <w:rsid w:val="00286E8F"/>
    <w:rsid w:val="002929E5"/>
    <w:rsid w:val="002951BB"/>
    <w:rsid w:val="002958C1"/>
    <w:rsid w:val="00296379"/>
    <w:rsid w:val="002A398B"/>
    <w:rsid w:val="002B0C00"/>
    <w:rsid w:val="002B4AFE"/>
    <w:rsid w:val="002C0A52"/>
    <w:rsid w:val="002C566B"/>
    <w:rsid w:val="002C696A"/>
    <w:rsid w:val="002C7159"/>
    <w:rsid w:val="002D134B"/>
    <w:rsid w:val="002D5DE0"/>
    <w:rsid w:val="002D60AA"/>
    <w:rsid w:val="002D680F"/>
    <w:rsid w:val="002D74F3"/>
    <w:rsid w:val="002D764E"/>
    <w:rsid w:val="002E0E65"/>
    <w:rsid w:val="002E2EE9"/>
    <w:rsid w:val="002E6E99"/>
    <w:rsid w:val="002F0E29"/>
    <w:rsid w:val="002F5D2C"/>
    <w:rsid w:val="003015D0"/>
    <w:rsid w:val="00302457"/>
    <w:rsid w:val="003037E9"/>
    <w:rsid w:val="00307F3B"/>
    <w:rsid w:val="00315266"/>
    <w:rsid w:val="0032726D"/>
    <w:rsid w:val="00334089"/>
    <w:rsid w:val="00337081"/>
    <w:rsid w:val="00342F45"/>
    <w:rsid w:val="003526B5"/>
    <w:rsid w:val="003536B3"/>
    <w:rsid w:val="00353EB7"/>
    <w:rsid w:val="00357DB9"/>
    <w:rsid w:val="00360080"/>
    <w:rsid w:val="00362F4D"/>
    <w:rsid w:val="003713C9"/>
    <w:rsid w:val="003714C3"/>
    <w:rsid w:val="00371CD8"/>
    <w:rsid w:val="003725AE"/>
    <w:rsid w:val="003726EA"/>
    <w:rsid w:val="00372B18"/>
    <w:rsid w:val="0037665C"/>
    <w:rsid w:val="00376B3A"/>
    <w:rsid w:val="00381167"/>
    <w:rsid w:val="00381612"/>
    <w:rsid w:val="00381960"/>
    <w:rsid w:val="0038333E"/>
    <w:rsid w:val="00383AC6"/>
    <w:rsid w:val="00387288"/>
    <w:rsid w:val="003904EE"/>
    <w:rsid w:val="00393D50"/>
    <w:rsid w:val="00395645"/>
    <w:rsid w:val="003A0330"/>
    <w:rsid w:val="003A0844"/>
    <w:rsid w:val="003A476A"/>
    <w:rsid w:val="003A47B0"/>
    <w:rsid w:val="003A4ED9"/>
    <w:rsid w:val="003A6B5D"/>
    <w:rsid w:val="003C1D95"/>
    <w:rsid w:val="003C2E50"/>
    <w:rsid w:val="003D2B95"/>
    <w:rsid w:val="003D2D15"/>
    <w:rsid w:val="003D2F30"/>
    <w:rsid w:val="003E0DBD"/>
    <w:rsid w:val="003E401D"/>
    <w:rsid w:val="003E69C5"/>
    <w:rsid w:val="003E6AEE"/>
    <w:rsid w:val="003E6EA5"/>
    <w:rsid w:val="003F0C68"/>
    <w:rsid w:val="003F2E79"/>
    <w:rsid w:val="003F65C5"/>
    <w:rsid w:val="00400BD4"/>
    <w:rsid w:val="00403C0B"/>
    <w:rsid w:val="004051EE"/>
    <w:rsid w:val="004073F0"/>
    <w:rsid w:val="004076F9"/>
    <w:rsid w:val="004100FF"/>
    <w:rsid w:val="00414678"/>
    <w:rsid w:val="0041514E"/>
    <w:rsid w:val="004167A3"/>
    <w:rsid w:val="004230BA"/>
    <w:rsid w:val="00423BD8"/>
    <w:rsid w:val="00424B4C"/>
    <w:rsid w:val="00425B4A"/>
    <w:rsid w:val="00431988"/>
    <w:rsid w:val="004328BF"/>
    <w:rsid w:val="00432B5C"/>
    <w:rsid w:val="00433787"/>
    <w:rsid w:val="0043434E"/>
    <w:rsid w:val="00434A5B"/>
    <w:rsid w:val="00437586"/>
    <w:rsid w:val="00443104"/>
    <w:rsid w:val="0044313B"/>
    <w:rsid w:val="00443D7C"/>
    <w:rsid w:val="00445461"/>
    <w:rsid w:val="00445CF9"/>
    <w:rsid w:val="004543E7"/>
    <w:rsid w:val="004577DE"/>
    <w:rsid w:val="00464679"/>
    <w:rsid w:val="00467185"/>
    <w:rsid w:val="00467666"/>
    <w:rsid w:val="004677B9"/>
    <w:rsid w:val="00476015"/>
    <w:rsid w:val="004771BF"/>
    <w:rsid w:val="00485558"/>
    <w:rsid w:val="00485B9A"/>
    <w:rsid w:val="00486FBD"/>
    <w:rsid w:val="00491466"/>
    <w:rsid w:val="00495A33"/>
    <w:rsid w:val="004969AA"/>
    <w:rsid w:val="004976A1"/>
    <w:rsid w:val="004A7D9D"/>
    <w:rsid w:val="004B422B"/>
    <w:rsid w:val="004B48F1"/>
    <w:rsid w:val="004B659C"/>
    <w:rsid w:val="004C0481"/>
    <w:rsid w:val="004C6D95"/>
    <w:rsid w:val="004D2662"/>
    <w:rsid w:val="004D2FA8"/>
    <w:rsid w:val="004D496D"/>
    <w:rsid w:val="004D542F"/>
    <w:rsid w:val="004E2AF3"/>
    <w:rsid w:val="004E5A47"/>
    <w:rsid w:val="004E601F"/>
    <w:rsid w:val="004E7391"/>
    <w:rsid w:val="004F069A"/>
    <w:rsid w:val="004F2AE7"/>
    <w:rsid w:val="004F3E58"/>
    <w:rsid w:val="004F6D35"/>
    <w:rsid w:val="00500D08"/>
    <w:rsid w:val="00501B2B"/>
    <w:rsid w:val="00507679"/>
    <w:rsid w:val="00513478"/>
    <w:rsid w:val="00513C1A"/>
    <w:rsid w:val="00515284"/>
    <w:rsid w:val="005215C8"/>
    <w:rsid w:val="0052324F"/>
    <w:rsid w:val="00523482"/>
    <w:rsid w:val="0052469E"/>
    <w:rsid w:val="00525844"/>
    <w:rsid w:val="00526913"/>
    <w:rsid w:val="00527536"/>
    <w:rsid w:val="0052798E"/>
    <w:rsid w:val="00531A11"/>
    <w:rsid w:val="00531D10"/>
    <w:rsid w:val="0054098E"/>
    <w:rsid w:val="005504CD"/>
    <w:rsid w:val="00553534"/>
    <w:rsid w:val="00556318"/>
    <w:rsid w:val="00563E77"/>
    <w:rsid w:val="00567012"/>
    <w:rsid w:val="00567059"/>
    <w:rsid w:val="00567AF2"/>
    <w:rsid w:val="00567DD5"/>
    <w:rsid w:val="00574EA6"/>
    <w:rsid w:val="00575E6A"/>
    <w:rsid w:val="0057600A"/>
    <w:rsid w:val="0058008F"/>
    <w:rsid w:val="00581F67"/>
    <w:rsid w:val="00582EE0"/>
    <w:rsid w:val="00583700"/>
    <w:rsid w:val="00592808"/>
    <w:rsid w:val="00592E41"/>
    <w:rsid w:val="00593F06"/>
    <w:rsid w:val="00594BF0"/>
    <w:rsid w:val="00595B31"/>
    <w:rsid w:val="00595E9A"/>
    <w:rsid w:val="005A4F74"/>
    <w:rsid w:val="005A69D8"/>
    <w:rsid w:val="005A7752"/>
    <w:rsid w:val="005B085E"/>
    <w:rsid w:val="005B3620"/>
    <w:rsid w:val="005B520F"/>
    <w:rsid w:val="005C2513"/>
    <w:rsid w:val="005C726B"/>
    <w:rsid w:val="005D4A3F"/>
    <w:rsid w:val="005D5808"/>
    <w:rsid w:val="005E3344"/>
    <w:rsid w:val="005E5923"/>
    <w:rsid w:val="005E69FA"/>
    <w:rsid w:val="005F111B"/>
    <w:rsid w:val="005F3C0A"/>
    <w:rsid w:val="005F4BC5"/>
    <w:rsid w:val="005F6F29"/>
    <w:rsid w:val="00601C8C"/>
    <w:rsid w:val="006102D0"/>
    <w:rsid w:val="0061045A"/>
    <w:rsid w:val="0061498A"/>
    <w:rsid w:val="00622B71"/>
    <w:rsid w:val="006249D7"/>
    <w:rsid w:val="00630A63"/>
    <w:rsid w:val="00633D86"/>
    <w:rsid w:val="00635C9E"/>
    <w:rsid w:val="0064507C"/>
    <w:rsid w:val="00647D34"/>
    <w:rsid w:val="00654578"/>
    <w:rsid w:val="00655B8A"/>
    <w:rsid w:val="00657DDC"/>
    <w:rsid w:val="006606F8"/>
    <w:rsid w:val="00660C0B"/>
    <w:rsid w:val="00662067"/>
    <w:rsid w:val="006626C4"/>
    <w:rsid w:val="00662DF2"/>
    <w:rsid w:val="006673F9"/>
    <w:rsid w:val="00670388"/>
    <w:rsid w:val="00671CD5"/>
    <w:rsid w:val="006720A3"/>
    <w:rsid w:val="00683B31"/>
    <w:rsid w:val="0068514E"/>
    <w:rsid w:val="00685B2A"/>
    <w:rsid w:val="00694F44"/>
    <w:rsid w:val="00694F81"/>
    <w:rsid w:val="006A14AE"/>
    <w:rsid w:val="006A4F90"/>
    <w:rsid w:val="006B3B03"/>
    <w:rsid w:val="006B645C"/>
    <w:rsid w:val="006B7A02"/>
    <w:rsid w:val="006C1DF3"/>
    <w:rsid w:val="006C64F2"/>
    <w:rsid w:val="006C679F"/>
    <w:rsid w:val="006D07F4"/>
    <w:rsid w:val="006D5147"/>
    <w:rsid w:val="006F3CCB"/>
    <w:rsid w:val="006F3FB6"/>
    <w:rsid w:val="006F42F5"/>
    <w:rsid w:val="006F4B2D"/>
    <w:rsid w:val="006F7D29"/>
    <w:rsid w:val="00700E67"/>
    <w:rsid w:val="0070556B"/>
    <w:rsid w:val="00705C4B"/>
    <w:rsid w:val="00706EE1"/>
    <w:rsid w:val="007076C4"/>
    <w:rsid w:val="00712874"/>
    <w:rsid w:val="00712876"/>
    <w:rsid w:val="00717DAA"/>
    <w:rsid w:val="00721BAC"/>
    <w:rsid w:val="007322DA"/>
    <w:rsid w:val="00732629"/>
    <w:rsid w:val="007345C8"/>
    <w:rsid w:val="00734D37"/>
    <w:rsid w:val="00745252"/>
    <w:rsid w:val="0074733B"/>
    <w:rsid w:val="00752950"/>
    <w:rsid w:val="007532BE"/>
    <w:rsid w:val="007536EA"/>
    <w:rsid w:val="00760C2C"/>
    <w:rsid w:val="00760C7C"/>
    <w:rsid w:val="00761A1B"/>
    <w:rsid w:val="0076482F"/>
    <w:rsid w:val="00765C22"/>
    <w:rsid w:val="00766C72"/>
    <w:rsid w:val="00771476"/>
    <w:rsid w:val="00773678"/>
    <w:rsid w:val="007740C8"/>
    <w:rsid w:val="007746CC"/>
    <w:rsid w:val="007748EE"/>
    <w:rsid w:val="00776500"/>
    <w:rsid w:val="00782669"/>
    <w:rsid w:val="00785DF6"/>
    <w:rsid w:val="007860F1"/>
    <w:rsid w:val="00786436"/>
    <w:rsid w:val="007867E2"/>
    <w:rsid w:val="00790B35"/>
    <w:rsid w:val="007955B8"/>
    <w:rsid w:val="0079694C"/>
    <w:rsid w:val="007A2C6D"/>
    <w:rsid w:val="007A4A06"/>
    <w:rsid w:val="007B0001"/>
    <w:rsid w:val="007B05AC"/>
    <w:rsid w:val="007B3163"/>
    <w:rsid w:val="007B592C"/>
    <w:rsid w:val="007B5BF6"/>
    <w:rsid w:val="007C65A8"/>
    <w:rsid w:val="007D1351"/>
    <w:rsid w:val="007D62C4"/>
    <w:rsid w:val="007D6DCC"/>
    <w:rsid w:val="007E3C78"/>
    <w:rsid w:val="007E5AC3"/>
    <w:rsid w:val="007F11E2"/>
    <w:rsid w:val="007F3C13"/>
    <w:rsid w:val="0080146C"/>
    <w:rsid w:val="00801686"/>
    <w:rsid w:val="00801B64"/>
    <w:rsid w:val="00811A53"/>
    <w:rsid w:val="00812B97"/>
    <w:rsid w:val="00814644"/>
    <w:rsid w:val="0081683B"/>
    <w:rsid w:val="008202B8"/>
    <w:rsid w:val="00821064"/>
    <w:rsid w:val="00822B85"/>
    <w:rsid w:val="0082403A"/>
    <w:rsid w:val="0082437E"/>
    <w:rsid w:val="00826AEC"/>
    <w:rsid w:val="00827C9C"/>
    <w:rsid w:val="00830E30"/>
    <w:rsid w:val="0083189C"/>
    <w:rsid w:val="00831D0D"/>
    <w:rsid w:val="00832025"/>
    <w:rsid w:val="008356D1"/>
    <w:rsid w:val="008377DD"/>
    <w:rsid w:val="00837D57"/>
    <w:rsid w:val="00840684"/>
    <w:rsid w:val="008410E5"/>
    <w:rsid w:val="00841580"/>
    <w:rsid w:val="00841F6A"/>
    <w:rsid w:val="00845B71"/>
    <w:rsid w:val="00847FD7"/>
    <w:rsid w:val="00850B00"/>
    <w:rsid w:val="00861FBF"/>
    <w:rsid w:val="008622B9"/>
    <w:rsid w:val="008630D2"/>
    <w:rsid w:val="008642B6"/>
    <w:rsid w:val="00867512"/>
    <w:rsid w:val="00871214"/>
    <w:rsid w:val="00872146"/>
    <w:rsid w:val="0087454A"/>
    <w:rsid w:val="008773F8"/>
    <w:rsid w:val="00877C49"/>
    <w:rsid w:val="00881279"/>
    <w:rsid w:val="0088275C"/>
    <w:rsid w:val="00884B2B"/>
    <w:rsid w:val="008855FD"/>
    <w:rsid w:val="00886653"/>
    <w:rsid w:val="00886A53"/>
    <w:rsid w:val="00886CCB"/>
    <w:rsid w:val="00887E1E"/>
    <w:rsid w:val="008927BF"/>
    <w:rsid w:val="00896C77"/>
    <w:rsid w:val="008A2CD0"/>
    <w:rsid w:val="008A3E98"/>
    <w:rsid w:val="008A40C5"/>
    <w:rsid w:val="008A4B7C"/>
    <w:rsid w:val="008A6832"/>
    <w:rsid w:val="008B382F"/>
    <w:rsid w:val="008B4090"/>
    <w:rsid w:val="008B4A3C"/>
    <w:rsid w:val="008B5749"/>
    <w:rsid w:val="008B76C0"/>
    <w:rsid w:val="008C1474"/>
    <w:rsid w:val="008C1AF9"/>
    <w:rsid w:val="008C4362"/>
    <w:rsid w:val="008D5972"/>
    <w:rsid w:val="008E2133"/>
    <w:rsid w:val="008E385D"/>
    <w:rsid w:val="008E4386"/>
    <w:rsid w:val="008E7570"/>
    <w:rsid w:val="008F1736"/>
    <w:rsid w:val="008F3701"/>
    <w:rsid w:val="009026FA"/>
    <w:rsid w:val="00903DAE"/>
    <w:rsid w:val="00904EC3"/>
    <w:rsid w:val="00906EA9"/>
    <w:rsid w:val="00907489"/>
    <w:rsid w:val="0091035C"/>
    <w:rsid w:val="00910631"/>
    <w:rsid w:val="00912731"/>
    <w:rsid w:val="00913552"/>
    <w:rsid w:val="0092078D"/>
    <w:rsid w:val="009209F6"/>
    <w:rsid w:val="00922480"/>
    <w:rsid w:val="00922FB0"/>
    <w:rsid w:val="00924DAC"/>
    <w:rsid w:val="00932515"/>
    <w:rsid w:val="00934D53"/>
    <w:rsid w:val="009373CB"/>
    <w:rsid w:val="00937B21"/>
    <w:rsid w:val="00943692"/>
    <w:rsid w:val="00943970"/>
    <w:rsid w:val="00945EBF"/>
    <w:rsid w:val="00951254"/>
    <w:rsid w:val="009519BF"/>
    <w:rsid w:val="0095373D"/>
    <w:rsid w:val="00955A32"/>
    <w:rsid w:val="009637E3"/>
    <w:rsid w:val="009644EC"/>
    <w:rsid w:val="0096707D"/>
    <w:rsid w:val="0097217C"/>
    <w:rsid w:val="00972C95"/>
    <w:rsid w:val="0097442C"/>
    <w:rsid w:val="00982675"/>
    <w:rsid w:val="00983033"/>
    <w:rsid w:val="00990932"/>
    <w:rsid w:val="00994B35"/>
    <w:rsid w:val="009A56BA"/>
    <w:rsid w:val="009A56DD"/>
    <w:rsid w:val="009B0C9B"/>
    <w:rsid w:val="009B1A96"/>
    <w:rsid w:val="009B2233"/>
    <w:rsid w:val="009B5938"/>
    <w:rsid w:val="009C0B9B"/>
    <w:rsid w:val="009C0DB7"/>
    <w:rsid w:val="009C694E"/>
    <w:rsid w:val="009D122E"/>
    <w:rsid w:val="009D1D6E"/>
    <w:rsid w:val="009D5D9E"/>
    <w:rsid w:val="009D5ED4"/>
    <w:rsid w:val="009D7AB3"/>
    <w:rsid w:val="009E1654"/>
    <w:rsid w:val="009E39D5"/>
    <w:rsid w:val="009E40EF"/>
    <w:rsid w:val="009E4578"/>
    <w:rsid w:val="009E4B4B"/>
    <w:rsid w:val="009E619C"/>
    <w:rsid w:val="009E7C4B"/>
    <w:rsid w:val="009F0C09"/>
    <w:rsid w:val="009F598E"/>
    <w:rsid w:val="009F70DB"/>
    <w:rsid w:val="00A11EE5"/>
    <w:rsid w:val="00A1585E"/>
    <w:rsid w:val="00A24B49"/>
    <w:rsid w:val="00A26B0E"/>
    <w:rsid w:val="00A273D7"/>
    <w:rsid w:val="00A3001E"/>
    <w:rsid w:val="00A349DC"/>
    <w:rsid w:val="00A3670A"/>
    <w:rsid w:val="00A367F3"/>
    <w:rsid w:val="00A45C4F"/>
    <w:rsid w:val="00A51CFB"/>
    <w:rsid w:val="00A53EE9"/>
    <w:rsid w:val="00A60A4B"/>
    <w:rsid w:val="00A62D92"/>
    <w:rsid w:val="00A63084"/>
    <w:rsid w:val="00A645C1"/>
    <w:rsid w:val="00A65FDF"/>
    <w:rsid w:val="00A6783C"/>
    <w:rsid w:val="00A83825"/>
    <w:rsid w:val="00A83AD8"/>
    <w:rsid w:val="00A87472"/>
    <w:rsid w:val="00A93E4C"/>
    <w:rsid w:val="00AA2EC7"/>
    <w:rsid w:val="00AC12F2"/>
    <w:rsid w:val="00AC4124"/>
    <w:rsid w:val="00AC6B6D"/>
    <w:rsid w:val="00AD0FA2"/>
    <w:rsid w:val="00AD27BF"/>
    <w:rsid w:val="00AD5F20"/>
    <w:rsid w:val="00AD7DE8"/>
    <w:rsid w:val="00AF0299"/>
    <w:rsid w:val="00AF2608"/>
    <w:rsid w:val="00AF2CA5"/>
    <w:rsid w:val="00AF2CAF"/>
    <w:rsid w:val="00AF2E59"/>
    <w:rsid w:val="00AF4D58"/>
    <w:rsid w:val="00B0085C"/>
    <w:rsid w:val="00B0122E"/>
    <w:rsid w:val="00B0449F"/>
    <w:rsid w:val="00B04976"/>
    <w:rsid w:val="00B070F2"/>
    <w:rsid w:val="00B15B26"/>
    <w:rsid w:val="00B202D2"/>
    <w:rsid w:val="00B22AEC"/>
    <w:rsid w:val="00B22B86"/>
    <w:rsid w:val="00B24C71"/>
    <w:rsid w:val="00B27445"/>
    <w:rsid w:val="00B33F64"/>
    <w:rsid w:val="00B355A9"/>
    <w:rsid w:val="00B3625F"/>
    <w:rsid w:val="00B36D16"/>
    <w:rsid w:val="00B42CC0"/>
    <w:rsid w:val="00B449E1"/>
    <w:rsid w:val="00B509F5"/>
    <w:rsid w:val="00B50C09"/>
    <w:rsid w:val="00B511C2"/>
    <w:rsid w:val="00B512C9"/>
    <w:rsid w:val="00B52318"/>
    <w:rsid w:val="00B54E33"/>
    <w:rsid w:val="00B61149"/>
    <w:rsid w:val="00B61FA8"/>
    <w:rsid w:val="00B718C7"/>
    <w:rsid w:val="00B736FF"/>
    <w:rsid w:val="00B73F59"/>
    <w:rsid w:val="00B80ACE"/>
    <w:rsid w:val="00B875EA"/>
    <w:rsid w:val="00B913C9"/>
    <w:rsid w:val="00B9297C"/>
    <w:rsid w:val="00BB2CD1"/>
    <w:rsid w:val="00BB6BCF"/>
    <w:rsid w:val="00BC10FF"/>
    <w:rsid w:val="00BC21C3"/>
    <w:rsid w:val="00BC29B1"/>
    <w:rsid w:val="00BC57C5"/>
    <w:rsid w:val="00BD31C6"/>
    <w:rsid w:val="00BD3912"/>
    <w:rsid w:val="00BD798B"/>
    <w:rsid w:val="00BE0372"/>
    <w:rsid w:val="00BE2C64"/>
    <w:rsid w:val="00BE6580"/>
    <w:rsid w:val="00BE7597"/>
    <w:rsid w:val="00BF20F3"/>
    <w:rsid w:val="00BF6DA2"/>
    <w:rsid w:val="00BF7E9F"/>
    <w:rsid w:val="00C023B5"/>
    <w:rsid w:val="00C026CA"/>
    <w:rsid w:val="00C044B5"/>
    <w:rsid w:val="00C11F2C"/>
    <w:rsid w:val="00C14511"/>
    <w:rsid w:val="00C159BD"/>
    <w:rsid w:val="00C21BCF"/>
    <w:rsid w:val="00C23170"/>
    <w:rsid w:val="00C24274"/>
    <w:rsid w:val="00C244F8"/>
    <w:rsid w:val="00C260A7"/>
    <w:rsid w:val="00C27A93"/>
    <w:rsid w:val="00C31601"/>
    <w:rsid w:val="00C36200"/>
    <w:rsid w:val="00C40C82"/>
    <w:rsid w:val="00C4168C"/>
    <w:rsid w:val="00C460B7"/>
    <w:rsid w:val="00C4623E"/>
    <w:rsid w:val="00C5607C"/>
    <w:rsid w:val="00C56F28"/>
    <w:rsid w:val="00C604BA"/>
    <w:rsid w:val="00C611C1"/>
    <w:rsid w:val="00C676B3"/>
    <w:rsid w:val="00C70481"/>
    <w:rsid w:val="00C743A3"/>
    <w:rsid w:val="00C7503A"/>
    <w:rsid w:val="00C75F1B"/>
    <w:rsid w:val="00C7660B"/>
    <w:rsid w:val="00C804F6"/>
    <w:rsid w:val="00C814CB"/>
    <w:rsid w:val="00C81B6A"/>
    <w:rsid w:val="00C8474D"/>
    <w:rsid w:val="00C84FFC"/>
    <w:rsid w:val="00C869F6"/>
    <w:rsid w:val="00C90939"/>
    <w:rsid w:val="00C90E1C"/>
    <w:rsid w:val="00C94976"/>
    <w:rsid w:val="00C95BAF"/>
    <w:rsid w:val="00C96FCB"/>
    <w:rsid w:val="00CA3B17"/>
    <w:rsid w:val="00CA51F4"/>
    <w:rsid w:val="00CA6627"/>
    <w:rsid w:val="00CB5195"/>
    <w:rsid w:val="00CB6CAD"/>
    <w:rsid w:val="00CC0084"/>
    <w:rsid w:val="00CC2FA5"/>
    <w:rsid w:val="00CD1636"/>
    <w:rsid w:val="00CD4165"/>
    <w:rsid w:val="00CD5BB8"/>
    <w:rsid w:val="00CE1738"/>
    <w:rsid w:val="00CE688C"/>
    <w:rsid w:val="00CE7469"/>
    <w:rsid w:val="00CE7951"/>
    <w:rsid w:val="00CE7F7F"/>
    <w:rsid w:val="00CF4649"/>
    <w:rsid w:val="00CF4FC4"/>
    <w:rsid w:val="00CF60C8"/>
    <w:rsid w:val="00D030E5"/>
    <w:rsid w:val="00D05003"/>
    <w:rsid w:val="00D1086B"/>
    <w:rsid w:val="00D130F0"/>
    <w:rsid w:val="00D137FF"/>
    <w:rsid w:val="00D1484F"/>
    <w:rsid w:val="00D179C9"/>
    <w:rsid w:val="00D17C2B"/>
    <w:rsid w:val="00D20069"/>
    <w:rsid w:val="00D218F1"/>
    <w:rsid w:val="00D22F52"/>
    <w:rsid w:val="00D25BF9"/>
    <w:rsid w:val="00D33403"/>
    <w:rsid w:val="00D41F35"/>
    <w:rsid w:val="00D43122"/>
    <w:rsid w:val="00D44156"/>
    <w:rsid w:val="00D44C1D"/>
    <w:rsid w:val="00D458F5"/>
    <w:rsid w:val="00D5428D"/>
    <w:rsid w:val="00D56DEC"/>
    <w:rsid w:val="00D65969"/>
    <w:rsid w:val="00D66714"/>
    <w:rsid w:val="00D70E9C"/>
    <w:rsid w:val="00D74419"/>
    <w:rsid w:val="00D7516F"/>
    <w:rsid w:val="00D77495"/>
    <w:rsid w:val="00D81D26"/>
    <w:rsid w:val="00D95F29"/>
    <w:rsid w:val="00D96A1D"/>
    <w:rsid w:val="00D96C97"/>
    <w:rsid w:val="00DA08C5"/>
    <w:rsid w:val="00DA1293"/>
    <w:rsid w:val="00DA2349"/>
    <w:rsid w:val="00DA3865"/>
    <w:rsid w:val="00DA697B"/>
    <w:rsid w:val="00DB25BA"/>
    <w:rsid w:val="00DB2F29"/>
    <w:rsid w:val="00DB428C"/>
    <w:rsid w:val="00DB5665"/>
    <w:rsid w:val="00DB7670"/>
    <w:rsid w:val="00DC1819"/>
    <w:rsid w:val="00DC1FDE"/>
    <w:rsid w:val="00DC2C79"/>
    <w:rsid w:val="00DC77ED"/>
    <w:rsid w:val="00DD4111"/>
    <w:rsid w:val="00DE3F39"/>
    <w:rsid w:val="00DE7D47"/>
    <w:rsid w:val="00DF6289"/>
    <w:rsid w:val="00DF6648"/>
    <w:rsid w:val="00E01FB0"/>
    <w:rsid w:val="00E10D4B"/>
    <w:rsid w:val="00E11C1F"/>
    <w:rsid w:val="00E211C1"/>
    <w:rsid w:val="00E31DB3"/>
    <w:rsid w:val="00E33313"/>
    <w:rsid w:val="00E346D3"/>
    <w:rsid w:val="00E346FB"/>
    <w:rsid w:val="00E42ADC"/>
    <w:rsid w:val="00E42C93"/>
    <w:rsid w:val="00E442FA"/>
    <w:rsid w:val="00E45721"/>
    <w:rsid w:val="00E5684D"/>
    <w:rsid w:val="00E6287A"/>
    <w:rsid w:val="00E70FC3"/>
    <w:rsid w:val="00E761C6"/>
    <w:rsid w:val="00E76B0D"/>
    <w:rsid w:val="00E800F4"/>
    <w:rsid w:val="00E81C8F"/>
    <w:rsid w:val="00E93C84"/>
    <w:rsid w:val="00E94212"/>
    <w:rsid w:val="00EA35C0"/>
    <w:rsid w:val="00EA7F0D"/>
    <w:rsid w:val="00EB147D"/>
    <w:rsid w:val="00EB31E9"/>
    <w:rsid w:val="00EB5D96"/>
    <w:rsid w:val="00EB7822"/>
    <w:rsid w:val="00EC032D"/>
    <w:rsid w:val="00EC7627"/>
    <w:rsid w:val="00EC77F3"/>
    <w:rsid w:val="00ED01DA"/>
    <w:rsid w:val="00ED28E3"/>
    <w:rsid w:val="00ED35E1"/>
    <w:rsid w:val="00ED45DD"/>
    <w:rsid w:val="00ED4F2C"/>
    <w:rsid w:val="00ED5A9B"/>
    <w:rsid w:val="00ED6C41"/>
    <w:rsid w:val="00EE0495"/>
    <w:rsid w:val="00EE0998"/>
    <w:rsid w:val="00EE1B5B"/>
    <w:rsid w:val="00EF5329"/>
    <w:rsid w:val="00EF558B"/>
    <w:rsid w:val="00EF7AEC"/>
    <w:rsid w:val="00F00286"/>
    <w:rsid w:val="00F00B5C"/>
    <w:rsid w:val="00F03B64"/>
    <w:rsid w:val="00F1039A"/>
    <w:rsid w:val="00F11FD2"/>
    <w:rsid w:val="00F1460C"/>
    <w:rsid w:val="00F172B5"/>
    <w:rsid w:val="00F2022B"/>
    <w:rsid w:val="00F23EBF"/>
    <w:rsid w:val="00F26D1E"/>
    <w:rsid w:val="00F3047A"/>
    <w:rsid w:val="00F318AB"/>
    <w:rsid w:val="00F31BCD"/>
    <w:rsid w:val="00F32B5A"/>
    <w:rsid w:val="00F32D18"/>
    <w:rsid w:val="00F32DD4"/>
    <w:rsid w:val="00F33FAE"/>
    <w:rsid w:val="00F3682F"/>
    <w:rsid w:val="00F3762B"/>
    <w:rsid w:val="00F423EC"/>
    <w:rsid w:val="00F4412B"/>
    <w:rsid w:val="00F466E9"/>
    <w:rsid w:val="00F504D2"/>
    <w:rsid w:val="00F53D98"/>
    <w:rsid w:val="00F54B62"/>
    <w:rsid w:val="00F55D6A"/>
    <w:rsid w:val="00F60FA3"/>
    <w:rsid w:val="00F633C6"/>
    <w:rsid w:val="00F6465D"/>
    <w:rsid w:val="00F662F9"/>
    <w:rsid w:val="00F76DF2"/>
    <w:rsid w:val="00F90539"/>
    <w:rsid w:val="00F91D4E"/>
    <w:rsid w:val="00F97261"/>
    <w:rsid w:val="00FA2F37"/>
    <w:rsid w:val="00FA562C"/>
    <w:rsid w:val="00FA6832"/>
    <w:rsid w:val="00FB192A"/>
    <w:rsid w:val="00FB459E"/>
    <w:rsid w:val="00FB6ED7"/>
    <w:rsid w:val="00FC4D73"/>
    <w:rsid w:val="00FC5C63"/>
    <w:rsid w:val="00FC72C3"/>
    <w:rsid w:val="00FD36F8"/>
    <w:rsid w:val="00FE0506"/>
    <w:rsid w:val="00FE1B2E"/>
    <w:rsid w:val="00FE3EA5"/>
    <w:rsid w:val="00FF1144"/>
    <w:rsid w:val="00FF5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E734"/>
  <w15:docId w15:val="{9978F780-8A03-4894-88D6-46115963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B5231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Nadpis3">
    <w:name w:val="heading 3"/>
    <w:basedOn w:val="Normln"/>
    <w:next w:val="Normln"/>
    <w:link w:val="Nadpis3Char"/>
    <w:uiPriority w:val="9"/>
    <w:unhideWhenUsed/>
    <w:qFormat/>
    <w:rsid w:val="002C715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A3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A39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A398B"/>
    <w:rPr>
      <w:rFonts w:ascii="Tahoma" w:hAnsi="Tahoma" w:cs="Tahoma"/>
      <w:sz w:val="16"/>
      <w:szCs w:val="16"/>
    </w:rPr>
  </w:style>
  <w:style w:type="character" w:customStyle="1" w:styleId="Nadpis2Char">
    <w:name w:val="Nadpis 2 Char"/>
    <w:basedOn w:val="Standardnpsmoodstavce"/>
    <w:link w:val="Nadpis2"/>
    <w:uiPriority w:val="9"/>
    <w:rsid w:val="00B52318"/>
    <w:rPr>
      <w:rFonts w:ascii="Times New Roman" w:eastAsia="Times New Roman" w:hAnsi="Times New Roman" w:cs="Times New Roman"/>
      <w:b/>
      <w:bCs/>
      <w:sz w:val="36"/>
      <w:szCs w:val="36"/>
      <w:lang w:eastAsia="en-GB"/>
    </w:rPr>
  </w:style>
  <w:style w:type="paragraph" w:styleId="Normlnweb">
    <w:name w:val="Normal (Web)"/>
    <w:basedOn w:val="Normln"/>
    <w:uiPriority w:val="99"/>
    <w:unhideWhenUsed/>
    <w:rsid w:val="00B523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textovodkaz">
    <w:name w:val="Hyperlink"/>
    <w:basedOn w:val="Standardnpsmoodstavce"/>
    <w:uiPriority w:val="99"/>
    <w:unhideWhenUsed/>
    <w:rsid w:val="00B52318"/>
    <w:rPr>
      <w:color w:val="0000FF"/>
      <w:u w:val="single"/>
    </w:rPr>
  </w:style>
  <w:style w:type="character" w:styleId="Siln">
    <w:name w:val="Strong"/>
    <w:basedOn w:val="Standardnpsmoodstavce"/>
    <w:uiPriority w:val="22"/>
    <w:qFormat/>
    <w:rsid w:val="00B52318"/>
    <w:rPr>
      <w:b/>
      <w:bCs/>
    </w:rPr>
  </w:style>
  <w:style w:type="character" w:customStyle="1" w:styleId="icon">
    <w:name w:val="icon"/>
    <w:basedOn w:val="Standardnpsmoodstavce"/>
    <w:rsid w:val="00B52318"/>
  </w:style>
  <w:style w:type="character" w:customStyle="1" w:styleId="skypetbinjection">
    <w:name w:val="skype_tb_injection"/>
    <w:basedOn w:val="Standardnpsmoodstavce"/>
    <w:rsid w:val="00B52318"/>
  </w:style>
  <w:style w:type="character" w:customStyle="1" w:styleId="skypetbinnertext">
    <w:name w:val="skype_tb_innertext"/>
    <w:basedOn w:val="Standardnpsmoodstavce"/>
    <w:rsid w:val="00B52318"/>
  </w:style>
  <w:style w:type="paragraph" w:styleId="Odstavecseseznamem">
    <w:name w:val="List Paragraph"/>
    <w:basedOn w:val="Normln"/>
    <w:uiPriority w:val="34"/>
    <w:qFormat/>
    <w:rsid w:val="00307F3B"/>
    <w:pPr>
      <w:ind w:left="720"/>
      <w:contextualSpacing/>
    </w:pPr>
  </w:style>
  <w:style w:type="paragraph" w:customStyle="1" w:styleId="xmsonormal">
    <w:name w:val="x_msonormal"/>
    <w:basedOn w:val="Normln"/>
    <w:rsid w:val="00790B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hlav">
    <w:name w:val="header"/>
    <w:basedOn w:val="Normln"/>
    <w:link w:val="ZhlavChar"/>
    <w:uiPriority w:val="99"/>
    <w:unhideWhenUsed/>
    <w:rsid w:val="00790B35"/>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790B35"/>
  </w:style>
  <w:style w:type="paragraph" w:styleId="Zpat">
    <w:name w:val="footer"/>
    <w:basedOn w:val="Normln"/>
    <w:link w:val="ZpatChar"/>
    <w:uiPriority w:val="99"/>
    <w:unhideWhenUsed/>
    <w:rsid w:val="00790B35"/>
    <w:pPr>
      <w:tabs>
        <w:tab w:val="center" w:pos="4513"/>
        <w:tab w:val="right" w:pos="9026"/>
      </w:tabs>
      <w:spacing w:after="0" w:line="240" w:lineRule="auto"/>
    </w:pPr>
  </w:style>
  <w:style w:type="character" w:customStyle="1" w:styleId="ZpatChar">
    <w:name w:val="Zápatí Char"/>
    <w:basedOn w:val="Standardnpsmoodstavce"/>
    <w:link w:val="Zpat"/>
    <w:uiPriority w:val="99"/>
    <w:rsid w:val="00790B35"/>
  </w:style>
  <w:style w:type="character" w:styleId="Sledovanodkaz">
    <w:name w:val="FollowedHyperlink"/>
    <w:basedOn w:val="Standardnpsmoodstavce"/>
    <w:uiPriority w:val="99"/>
    <w:semiHidden/>
    <w:unhideWhenUsed/>
    <w:rsid w:val="008B5749"/>
    <w:rPr>
      <w:color w:val="800080" w:themeColor="followedHyperlink"/>
      <w:u w:val="single"/>
    </w:rPr>
  </w:style>
  <w:style w:type="character" w:styleId="Nevyeenzmnka">
    <w:name w:val="Unresolved Mention"/>
    <w:basedOn w:val="Standardnpsmoodstavce"/>
    <w:uiPriority w:val="99"/>
    <w:semiHidden/>
    <w:unhideWhenUsed/>
    <w:rsid w:val="0064507C"/>
    <w:rPr>
      <w:color w:val="605E5C"/>
      <w:shd w:val="clear" w:color="auto" w:fill="E1DFDD"/>
    </w:rPr>
  </w:style>
  <w:style w:type="character" w:customStyle="1" w:styleId="Nadpis3Char">
    <w:name w:val="Nadpis 3 Char"/>
    <w:basedOn w:val="Standardnpsmoodstavce"/>
    <w:link w:val="Nadpis3"/>
    <w:uiPriority w:val="9"/>
    <w:rsid w:val="002C7159"/>
    <w:rPr>
      <w:rFonts w:asciiTheme="majorHAnsi" w:eastAsiaTheme="majorEastAsia" w:hAnsiTheme="majorHAnsi" w:cstheme="majorBidi"/>
      <w:color w:val="243F60" w:themeColor="accent1" w:themeShade="7F"/>
      <w:sz w:val="24"/>
      <w:szCs w:val="24"/>
    </w:rPr>
  </w:style>
  <w:style w:type="character" w:customStyle="1" w:styleId="ux-u-font-bold">
    <w:name w:val="ux-u-font-bold"/>
    <w:basedOn w:val="Standardnpsmoodstavce"/>
    <w:rsid w:val="002C7159"/>
  </w:style>
  <w:style w:type="character" w:customStyle="1" w:styleId="ux-buttoncontent">
    <w:name w:val="ux-button__content"/>
    <w:basedOn w:val="Standardnpsmoodstavce"/>
    <w:rsid w:val="00ED35E1"/>
  </w:style>
  <w:style w:type="character" w:customStyle="1" w:styleId="ng-star-inserted">
    <w:name w:val="ng-star-inserted"/>
    <w:basedOn w:val="Standardnpsmoodstavce"/>
    <w:rsid w:val="00C743A3"/>
  </w:style>
  <w:style w:type="character" w:styleId="Zdraznn">
    <w:name w:val="Emphasis"/>
    <w:basedOn w:val="Standardnpsmoodstavce"/>
    <w:uiPriority w:val="20"/>
    <w:qFormat/>
    <w:rsid w:val="00C743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5433">
      <w:bodyDiv w:val="1"/>
      <w:marLeft w:val="0"/>
      <w:marRight w:val="0"/>
      <w:marTop w:val="0"/>
      <w:marBottom w:val="0"/>
      <w:divBdr>
        <w:top w:val="none" w:sz="0" w:space="0" w:color="auto"/>
        <w:left w:val="none" w:sz="0" w:space="0" w:color="auto"/>
        <w:bottom w:val="none" w:sz="0" w:space="0" w:color="auto"/>
        <w:right w:val="none" w:sz="0" w:space="0" w:color="auto"/>
      </w:divBdr>
    </w:div>
    <w:div w:id="115637566">
      <w:bodyDiv w:val="1"/>
      <w:marLeft w:val="0"/>
      <w:marRight w:val="0"/>
      <w:marTop w:val="0"/>
      <w:marBottom w:val="0"/>
      <w:divBdr>
        <w:top w:val="none" w:sz="0" w:space="0" w:color="auto"/>
        <w:left w:val="none" w:sz="0" w:space="0" w:color="auto"/>
        <w:bottom w:val="none" w:sz="0" w:space="0" w:color="auto"/>
        <w:right w:val="none" w:sz="0" w:space="0" w:color="auto"/>
      </w:divBdr>
    </w:div>
    <w:div w:id="147867379">
      <w:bodyDiv w:val="1"/>
      <w:marLeft w:val="0"/>
      <w:marRight w:val="0"/>
      <w:marTop w:val="0"/>
      <w:marBottom w:val="0"/>
      <w:divBdr>
        <w:top w:val="none" w:sz="0" w:space="0" w:color="auto"/>
        <w:left w:val="none" w:sz="0" w:space="0" w:color="auto"/>
        <w:bottom w:val="none" w:sz="0" w:space="0" w:color="auto"/>
        <w:right w:val="none" w:sz="0" w:space="0" w:color="auto"/>
      </w:divBdr>
      <w:divsChild>
        <w:div w:id="381370894">
          <w:marLeft w:val="0"/>
          <w:marRight w:val="0"/>
          <w:marTop w:val="0"/>
          <w:marBottom w:val="0"/>
          <w:divBdr>
            <w:top w:val="none" w:sz="0" w:space="0" w:color="auto"/>
            <w:left w:val="none" w:sz="0" w:space="0" w:color="auto"/>
            <w:bottom w:val="none" w:sz="0" w:space="0" w:color="auto"/>
            <w:right w:val="none" w:sz="0" w:space="0" w:color="auto"/>
          </w:divBdr>
        </w:div>
        <w:div w:id="504591807">
          <w:marLeft w:val="0"/>
          <w:marRight w:val="0"/>
          <w:marTop w:val="0"/>
          <w:marBottom w:val="0"/>
          <w:divBdr>
            <w:top w:val="none" w:sz="0" w:space="0" w:color="auto"/>
            <w:left w:val="none" w:sz="0" w:space="0" w:color="auto"/>
            <w:bottom w:val="none" w:sz="0" w:space="0" w:color="auto"/>
            <w:right w:val="none" w:sz="0" w:space="0" w:color="auto"/>
          </w:divBdr>
        </w:div>
        <w:div w:id="1097020645">
          <w:marLeft w:val="0"/>
          <w:marRight w:val="0"/>
          <w:marTop w:val="0"/>
          <w:marBottom w:val="0"/>
          <w:divBdr>
            <w:top w:val="none" w:sz="0" w:space="0" w:color="auto"/>
            <w:left w:val="none" w:sz="0" w:space="0" w:color="auto"/>
            <w:bottom w:val="none" w:sz="0" w:space="0" w:color="auto"/>
            <w:right w:val="none" w:sz="0" w:space="0" w:color="auto"/>
          </w:divBdr>
        </w:div>
        <w:div w:id="974985678">
          <w:marLeft w:val="0"/>
          <w:marRight w:val="0"/>
          <w:marTop w:val="0"/>
          <w:marBottom w:val="0"/>
          <w:divBdr>
            <w:top w:val="none" w:sz="0" w:space="0" w:color="auto"/>
            <w:left w:val="none" w:sz="0" w:space="0" w:color="auto"/>
            <w:bottom w:val="none" w:sz="0" w:space="0" w:color="auto"/>
            <w:right w:val="none" w:sz="0" w:space="0" w:color="auto"/>
          </w:divBdr>
        </w:div>
      </w:divsChild>
    </w:div>
    <w:div w:id="179121638">
      <w:bodyDiv w:val="1"/>
      <w:marLeft w:val="0"/>
      <w:marRight w:val="0"/>
      <w:marTop w:val="0"/>
      <w:marBottom w:val="0"/>
      <w:divBdr>
        <w:top w:val="none" w:sz="0" w:space="0" w:color="auto"/>
        <w:left w:val="none" w:sz="0" w:space="0" w:color="auto"/>
        <w:bottom w:val="none" w:sz="0" w:space="0" w:color="auto"/>
        <w:right w:val="none" w:sz="0" w:space="0" w:color="auto"/>
      </w:divBdr>
    </w:div>
    <w:div w:id="450516471">
      <w:bodyDiv w:val="1"/>
      <w:marLeft w:val="0"/>
      <w:marRight w:val="0"/>
      <w:marTop w:val="0"/>
      <w:marBottom w:val="0"/>
      <w:divBdr>
        <w:top w:val="none" w:sz="0" w:space="0" w:color="auto"/>
        <w:left w:val="none" w:sz="0" w:space="0" w:color="auto"/>
        <w:bottom w:val="none" w:sz="0" w:space="0" w:color="auto"/>
        <w:right w:val="none" w:sz="0" w:space="0" w:color="auto"/>
      </w:divBdr>
    </w:div>
    <w:div w:id="531263119">
      <w:bodyDiv w:val="1"/>
      <w:marLeft w:val="0"/>
      <w:marRight w:val="0"/>
      <w:marTop w:val="0"/>
      <w:marBottom w:val="0"/>
      <w:divBdr>
        <w:top w:val="none" w:sz="0" w:space="0" w:color="auto"/>
        <w:left w:val="none" w:sz="0" w:space="0" w:color="auto"/>
        <w:bottom w:val="none" w:sz="0" w:space="0" w:color="auto"/>
        <w:right w:val="none" w:sz="0" w:space="0" w:color="auto"/>
      </w:divBdr>
      <w:divsChild>
        <w:div w:id="1117287379">
          <w:marLeft w:val="0"/>
          <w:marRight w:val="0"/>
          <w:marTop w:val="0"/>
          <w:marBottom w:val="0"/>
          <w:divBdr>
            <w:top w:val="none" w:sz="0" w:space="0" w:color="auto"/>
            <w:left w:val="none" w:sz="0" w:space="0" w:color="auto"/>
            <w:bottom w:val="none" w:sz="0" w:space="0" w:color="auto"/>
            <w:right w:val="none" w:sz="0" w:space="0" w:color="auto"/>
          </w:divBdr>
          <w:divsChild>
            <w:div w:id="859709934">
              <w:marLeft w:val="0"/>
              <w:marRight w:val="0"/>
              <w:marTop w:val="0"/>
              <w:marBottom w:val="0"/>
              <w:divBdr>
                <w:top w:val="none" w:sz="0" w:space="0" w:color="auto"/>
                <w:left w:val="none" w:sz="0" w:space="0" w:color="auto"/>
                <w:bottom w:val="none" w:sz="0" w:space="0" w:color="auto"/>
                <w:right w:val="none" w:sz="0" w:space="0" w:color="auto"/>
              </w:divBdr>
              <w:divsChild>
                <w:div w:id="1853757196">
                  <w:marLeft w:val="0"/>
                  <w:marRight w:val="0"/>
                  <w:marTop w:val="0"/>
                  <w:marBottom w:val="0"/>
                  <w:divBdr>
                    <w:top w:val="none" w:sz="0" w:space="0" w:color="auto"/>
                    <w:left w:val="none" w:sz="0" w:space="0" w:color="auto"/>
                    <w:bottom w:val="none" w:sz="0" w:space="0" w:color="auto"/>
                    <w:right w:val="none" w:sz="0" w:space="0" w:color="auto"/>
                  </w:divBdr>
                  <w:divsChild>
                    <w:div w:id="191192577">
                      <w:marLeft w:val="0"/>
                      <w:marRight w:val="0"/>
                      <w:marTop w:val="0"/>
                      <w:marBottom w:val="0"/>
                      <w:divBdr>
                        <w:top w:val="none" w:sz="0" w:space="0" w:color="auto"/>
                        <w:left w:val="none" w:sz="0" w:space="0" w:color="auto"/>
                        <w:bottom w:val="none" w:sz="0" w:space="0" w:color="auto"/>
                        <w:right w:val="none" w:sz="0" w:space="0" w:color="auto"/>
                      </w:divBdr>
                      <w:divsChild>
                        <w:div w:id="1071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607433">
      <w:bodyDiv w:val="1"/>
      <w:marLeft w:val="0"/>
      <w:marRight w:val="0"/>
      <w:marTop w:val="0"/>
      <w:marBottom w:val="0"/>
      <w:divBdr>
        <w:top w:val="none" w:sz="0" w:space="0" w:color="auto"/>
        <w:left w:val="none" w:sz="0" w:space="0" w:color="auto"/>
        <w:bottom w:val="none" w:sz="0" w:space="0" w:color="auto"/>
        <w:right w:val="none" w:sz="0" w:space="0" w:color="auto"/>
      </w:divBdr>
      <w:divsChild>
        <w:div w:id="1236361571">
          <w:marLeft w:val="0"/>
          <w:marRight w:val="0"/>
          <w:marTop w:val="0"/>
          <w:marBottom w:val="0"/>
          <w:divBdr>
            <w:top w:val="none" w:sz="0" w:space="0" w:color="auto"/>
            <w:left w:val="none" w:sz="0" w:space="0" w:color="auto"/>
            <w:bottom w:val="none" w:sz="0" w:space="0" w:color="auto"/>
            <w:right w:val="none" w:sz="0" w:space="0" w:color="auto"/>
          </w:divBdr>
          <w:divsChild>
            <w:div w:id="1988972868">
              <w:marLeft w:val="0"/>
              <w:marRight w:val="0"/>
              <w:marTop w:val="0"/>
              <w:marBottom w:val="0"/>
              <w:divBdr>
                <w:top w:val="none" w:sz="0" w:space="0" w:color="auto"/>
                <w:left w:val="none" w:sz="0" w:space="0" w:color="auto"/>
                <w:bottom w:val="none" w:sz="0" w:space="0" w:color="auto"/>
                <w:right w:val="none" w:sz="0" w:space="0" w:color="auto"/>
              </w:divBdr>
              <w:divsChild>
                <w:div w:id="827331869">
                  <w:marLeft w:val="0"/>
                  <w:marRight w:val="0"/>
                  <w:marTop w:val="0"/>
                  <w:marBottom w:val="0"/>
                  <w:divBdr>
                    <w:top w:val="none" w:sz="0" w:space="0" w:color="auto"/>
                    <w:left w:val="none" w:sz="0" w:space="0" w:color="auto"/>
                    <w:bottom w:val="none" w:sz="0" w:space="0" w:color="auto"/>
                    <w:right w:val="none" w:sz="0" w:space="0" w:color="auto"/>
                  </w:divBdr>
                  <w:divsChild>
                    <w:div w:id="39943538">
                      <w:marLeft w:val="0"/>
                      <w:marRight w:val="0"/>
                      <w:marTop w:val="0"/>
                      <w:marBottom w:val="0"/>
                      <w:divBdr>
                        <w:top w:val="none" w:sz="0" w:space="0" w:color="auto"/>
                        <w:left w:val="none" w:sz="0" w:space="0" w:color="auto"/>
                        <w:bottom w:val="none" w:sz="0" w:space="0" w:color="auto"/>
                        <w:right w:val="none" w:sz="0" w:space="0" w:color="auto"/>
                      </w:divBdr>
                      <w:divsChild>
                        <w:div w:id="28627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3551">
      <w:bodyDiv w:val="1"/>
      <w:marLeft w:val="0"/>
      <w:marRight w:val="0"/>
      <w:marTop w:val="0"/>
      <w:marBottom w:val="0"/>
      <w:divBdr>
        <w:top w:val="none" w:sz="0" w:space="0" w:color="auto"/>
        <w:left w:val="none" w:sz="0" w:space="0" w:color="auto"/>
        <w:bottom w:val="none" w:sz="0" w:space="0" w:color="auto"/>
        <w:right w:val="none" w:sz="0" w:space="0" w:color="auto"/>
      </w:divBdr>
    </w:div>
    <w:div w:id="749885572">
      <w:bodyDiv w:val="1"/>
      <w:marLeft w:val="0"/>
      <w:marRight w:val="0"/>
      <w:marTop w:val="0"/>
      <w:marBottom w:val="0"/>
      <w:divBdr>
        <w:top w:val="none" w:sz="0" w:space="0" w:color="auto"/>
        <w:left w:val="none" w:sz="0" w:space="0" w:color="auto"/>
        <w:bottom w:val="none" w:sz="0" w:space="0" w:color="auto"/>
        <w:right w:val="none" w:sz="0" w:space="0" w:color="auto"/>
      </w:divBdr>
    </w:div>
    <w:div w:id="820267656">
      <w:bodyDiv w:val="1"/>
      <w:marLeft w:val="0"/>
      <w:marRight w:val="0"/>
      <w:marTop w:val="0"/>
      <w:marBottom w:val="0"/>
      <w:divBdr>
        <w:top w:val="none" w:sz="0" w:space="0" w:color="auto"/>
        <w:left w:val="none" w:sz="0" w:space="0" w:color="auto"/>
        <w:bottom w:val="none" w:sz="0" w:space="0" w:color="auto"/>
        <w:right w:val="none" w:sz="0" w:space="0" w:color="auto"/>
      </w:divBdr>
      <w:divsChild>
        <w:div w:id="674724197">
          <w:marLeft w:val="0"/>
          <w:marRight w:val="0"/>
          <w:marTop w:val="0"/>
          <w:marBottom w:val="0"/>
          <w:divBdr>
            <w:top w:val="none" w:sz="0" w:space="0" w:color="auto"/>
            <w:left w:val="none" w:sz="0" w:space="0" w:color="auto"/>
            <w:bottom w:val="none" w:sz="0" w:space="0" w:color="auto"/>
            <w:right w:val="none" w:sz="0" w:space="0" w:color="auto"/>
          </w:divBdr>
          <w:divsChild>
            <w:div w:id="589124018">
              <w:marLeft w:val="0"/>
              <w:marRight w:val="0"/>
              <w:marTop w:val="0"/>
              <w:marBottom w:val="0"/>
              <w:divBdr>
                <w:top w:val="none" w:sz="0" w:space="0" w:color="auto"/>
                <w:left w:val="none" w:sz="0" w:space="0" w:color="auto"/>
                <w:bottom w:val="none" w:sz="0" w:space="0" w:color="auto"/>
                <w:right w:val="none" w:sz="0" w:space="0" w:color="auto"/>
              </w:divBdr>
              <w:divsChild>
                <w:div w:id="1518808755">
                  <w:marLeft w:val="0"/>
                  <w:marRight w:val="0"/>
                  <w:marTop w:val="0"/>
                  <w:marBottom w:val="0"/>
                  <w:divBdr>
                    <w:top w:val="none" w:sz="0" w:space="0" w:color="auto"/>
                    <w:left w:val="none" w:sz="0" w:space="0" w:color="auto"/>
                    <w:bottom w:val="none" w:sz="0" w:space="0" w:color="auto"/>
                    <w:right w:val="none" w:sz="0" w:space="0" w:color="auto"/>
                  </w:divBdr>
                  <w:divsChild>
                    <w:div w:id="551037864">
                      <w:marLeft w:val="0"/>
                      <w:marRight w:val="0"/>
                      <w:marTop w:val="0"/>
                      <w:marBottom w:val="0"/>
                      <w:divBdr>
                        <w:top w:val="none" w:sz="0" w:space="0" w:color="auto"/>
                        <w:left w:val="none" w:sz="0" w:space="0" w:color="auto"/>
                        <w:bottom w:val="none" w:sz="0" w:space="0" w:color="auto"/>
                        <w:right w:val="none" w:sz="0" w:space="0" w:color="auto"/>
                      </w:divBdr>
                      <w:divsChild>
                        <w:div w:id="925917258">
                          <w:marLeft w:val="0"/>
                          <w:marRight w:val="0"/>
                          <w:marTop w:val="0"/>
                          <w:marBottom w:val="0"/>
                          <w:divBdr>
                            <w:top w:val="none" w:sz="0" w:space="0" w:color="auto"/>
                            <w:left w:val="none" w:sz="0" w:space="0" w:color="auto"/>
                            <w:bottom w:val="none" w:sz="0" w:space="0" w:color="auto"/>
                            <w:right w:val="none" w:sz="0" w:space="0" w:color="auto"/>
                          </w:divBdr>
                          <w:divsChild>
                            <w:div w:id="2482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130936">
      <w:bodyDiv w:val="1"/>
      <w:marLeft w:val="0"/>
      <w:marRight w:val="0"/>
      <w:marTop w:val="0"/>
      <w:marBottom w:val="0"/>
      <w:divBdr>
        <w:top w:val="none" w:sz="0" w:space="0" w:color="auto"/>
        <w:left w:val="none" w:sz="0" w:space="0" w:color="auto"/>
        <w:bottom w:val="none" w:sz="0" w:space="0" w:color="auto"/>
        <w:right w:val="none" w:sz="0" w:space="0" w:color="auto"/>
      </w:divBdr>
    </w:div>
    <w:div w:id="919099482">
      <w:bodyDiv w:val="1"/>
      <w:marLeft w:val="0"/>
      <w:marRight w:val="0"/>
      <w:marTop w:val="0"/>
      <w:marBottom w:val="0"/>
      <w:divBdr>
        <w:top w:val="none" w:sz="0" w:space="0" w:color="auto"/>
        <w:left w:val="none" w:sz="0" w:space="0" w:color="auto"/>
        <w:bottom w:val="none" w:sz="0" w:space="0" w:color="auto"/>
        <w:right w:val="none" w:sz="0" w:space="0" w:color="auto"/>
      </w:divBdr>
    </w:div>
    <w:div w:id="1012608120">
      <w:bodyDiv w:val="1"/>
      <w:marLeft w:val="0"/>
      <w:marRight w:val="0"/>
      <w:marTop w:val="0"/>
      <w:marBottom w:val="0"/>
      <w:divBdr>
        <w:top w:val="none" w:sz="0" w:space="0" w:color="auto"/>
        <w:left w:val="none" w:sz="0" w:space="0" w:color="auto"/>
        <w:bottom w:val="none" w:sz="0" w:space="0" w:color="auto"/>
        <w:right w:val="none" w:sz="0" w:space="0" w:color="auto"/>
      </w:divBdr>
    </w:div>
    <w:div w:id="1043754085">
      <w:bodyDiv w:val="1"/>
      <w:marLeft w:val="0"/>
      <w:marRight w:val="0"/>
      <w:marTop w:val="0"/>
      <w:marBottom w:val="0"/>
      <w:divBdr>
        <w:top w:val="none" w:sz="0" w:space="0" w:color="auto"/>
        <w:left w:val="none" w:sz="0" w:space="0" w:color="auto"/>
        <w:bottom w:val="none" w:sz="0" w:space="0" w:color="auto"/>
        <w:right w:val="none" w:sz="0" w:space="0" w:color="auto"/>
      </w:divBdr>
    </w:div>
    <w:div w:id="1277441744">
      <w:bodyDiv w:val="1"/>
      <w:marLeft w:val="0"/>
      <w:marRight w:val="0"/>
      <w:marTop w:val="0"/>
      <w:marBottom w:val="0"/>
      <w:divBdr>
        <w:top w:val="none" w:sz="0" w:space="0" w:color="auto"/>
        <w:left w:val="none" w:sz="0" w:space="0" w:color="auto"/>
        <w:bottom w:val="none" w:sz="0" w:space="0" w:color="auto"/>
        <w:right w:val="none" w:sz="0" w:space="0" w:color="auto"/>
      </w:divBdr>
      <w:divsChild>
        <w:div w:id="501892779">
          <w:marLeft w:val="0"/>
          <w:marRight w:val="0"/>
          <w:marTop w:val="0"/>
          <w:marBottom w:val="0"/>
          <w:divBdr>
            <w:top w:val="none" w:sz="0" w:space="0" w:color="auto"/>
            <w:left w:val="none" w:sz="0" w:space="0" w:color="auto"/>
            <w:bottom w:val="none" w:sz="0" w:space="0" w:color="auto"/>
            <w:right w:val="none" w:sz="0" w:space="0" w:color="auto"/>
          </w:divBdr>
          <w:divsChild>
            <w:div w:id="1705132801">
              <w:marLeft w:val="0"/>
              <w:marRight w:val="0"/>
              <w:marTop w:val="0"/>
              <w:marBottom w:val="0"/>
              <w:divBdr>
                <w:top w:val="none" w:sz="0" w:space="0" w:color="auto"/>
                <w:left w:val="none" w:sz="0" w:space="0" w:color="auto"/>
                <w:bottom w:val="none" w:sz="0" w:space="0" w:color="auto"/>
                <w:right w:val="none" w:sz="0" w:space="0" w:color="auto"/>
              </w:divBdr>
              <w:divsChild>
                <w:div w:id="19407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31206">
      <w:bodyDiv w:val="1"/>
      <w:marLeft w:val="0"/>
      <w:marRight w:val="0"/>
      <w:marTop w:val="0"/>
      <w:marBottom w:val="0"/>
      <w:divBdr>
        <w:top w:val="none" w:sz="0" w:space="0" w:color="auto"/>
        <w:left w:val="none" w:sz="0" w:space="0" w:color="auto"/>
        <w:bottom w:val="none" w:sz="0" w:space="0" w:color="auto"/>
        <w:right w:val="none" w:sz="0" w:space="0" w:color="auto"/>
      </w:divBdr>
      <w:divsChild>
        <w:div w:id="1103645241">
          <w:marLeft w:val="0"/>
          <w:marRight w:val="0"/>
          <w:marTop w:val="0"/>
          <w:marBottom w:val="0"/>
          <w:divBdr>
            <w:top w:val="none" w:sz="0" w:space="0" w:color="auto"/>
            <w:left w:val="none" w:sz="0" w:space="0" w:color="auto"/>
            <w:bottom w:val="single" w:sz="6" w:space="0" w:color="D2D2D2"/>
            <w:right w:val="none" w:sz="0" w:space="0" w:color="auto"/>
          </w:divBdr>
          <w:divsChild>
            <w:div w:id="118450622">
              <w:marLeft w:val="0"/>
              <w:marRight w:val="0"/>
              <w:marTop w:val="0"/>
              <w:marBottom w:val="0"/>
              <w:divBdr>
                <w:top w:val="none" w:sz="0" w:space="0" w:color="auto"/>
                <w:left w:val="none" w:sz="0" w:space="0" w:color="auto"/>
                <w:bottom w:val="none" w:sz="0" w:space="0" w:color="auto"/>
                <w:right w:val="none" w:sz="0" w:space="0" w:color="auto"/>
              </w:divBdr>
              <w:divsChild>
                <w:div w:id="1562979711">
                  <w:marLeft w:val="0"/>
                  <w:marRight w:val="0"/>
                  <w:marTop w:val="0"/>
                  <w:marBottom w:val="0"/>
                  <w:divBdr>
                    <w:top w:val="none" w:sz="0" w:space="0" w:color="auto"/>
                    <w:left w:val="none" w:sz="0" w:space="0" w:color="auto"/>
                    <w:bottom w:val="none" w:sz="0" w:space="0" w:color="auto"/>
                    <w:right w:val="none" w:sz="0" w:space="0" w:color="auto"/>
                  </w:divBdr>
                  <w:divsChild>
                    <w:div w:id="18506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91058">
          <w:marLeft w:val="0"/>
          <w:marRight w:val="0"/>
          <w:marTop w:val="0"/>
          <w:marBottom w:val="0"/>
          <w:divBdr>
            <w:top w:val="none" w:sz="0" w:space="0" w:color="auto"/>
            <w:left w:val="none" w:sz="0" w:space="0" w:color="auto"/>
            <w:bottom w:val="none" w:sz="0" w:space="0" w:color="auto"/>
            <w:right w:val="none" w:sz="0" w:space="0" w:color="auto"/>
          </w:divBdr>
        </w:div>
      </w:divsChild>
    </w:div>
    <w:div w:id="1371148439">
      <w:bodyDiv w:val="1"/>
      <w:marLeft w:val="0"/>
      <w:marRight w:val="0"/>
      <w:marTop w:val="0"/>
      <w:marBottom w:val="0"/>
      <w:divBdr>
        <w:top w:val="none" w:sz="0" w:space="0" w:color="auto"/>
        <w:left w:val="none" w:sz="0" w:space="0" w:color="auto"/>
        <w:bottom w:val="none" w:sz="0" w:space="0" w:color="auto"/>
        <w:right w:val="none" w:sz="0" w:space="0" w:color="auto"/>
      </w:divBdr>
    </w:div>
    <w:div w:id="1415128289">
      <w:bodyDiv w:val="1"/>
      <w:marLeft w:val="0"/>
      <w:marRight w:val="0"/>
      <w:marTop w:val="0"/>
      <w:marBottom w:val="0"/>
      <w:divBdr>
        <w:top w:val="none" w:sz="0" w:space="0" w:color="auto"/>
        <w:left w:val="none" w:sz="0" w:space="0" w:color="auto"/>
        <w:bottom w:val="none" w:sz="0" w:space="0" w:color="auto"/>
        <w:right w:val="none" w:sz="0" w:space="0" w:color="auto"/>
      </w:divBdr>
    </w:div>
    <w:div w:id="1474105657">
      <w:bodyDiv w:val="1"/>
      <w:marLeft w:val="0"/>
      <w:marRight w:val="0"/>
      <w:marTop w:val="0"/>
      <w:marBottom w:val="0"/>
      <w:divBdr>
        <w:top w:val="none" w:sz="0" w:space="0" w:color="auto"/>
        <w:left w:val="none" w:sz="0" w:space="0" w:color="auto"/>
        <w:bottom w:val="none" w:sz="0" w:space="0" w:color="auto"/>
        <w:right w:val="none" w:sz="0" w:space="0" w:color="auto"/>
      </w:divBdr>
    </w:div>
    <w:div w:id="1507741761">
      <w:bodyDiv w:val="1"/>
      <w:marLeft w:val="0"/>
      <w:marRight w:val="0"/>
      <w:marTop w:val="0"/>
      <w:marBottom w:val="0"/>
      <w:divBdr>
        <w:top w:val="none" w:sz="0" w:space="0" w:color="auto"/>
        <w:left w:val="none" w:sz="0" w:space="0" w:color="auto"/>
        <w:bottom w:val="none" w:sz="0" w:space="0" w:color="auto"/>
        <w:right w:val="none" w:sz="0" w:space="0" w:color="auto"/>
      </w:divBdr>
    </w:div>
    <w:div w:id="1714766291">
      <w:bodyDiv w:val="1"/>
      <w:marLeft w:val="0"/>
      <w:marRight w:val="0"/>
      <w:marTop w:val="0"/>
      <w:marBottom w:val="0"/>
      <w:divBdr>
        <w:top w:val="none" w:sz="0" w:space="0" w:color="auto"/>
        <w:left w:val="none" w:sz="0" w:space="0" w:color="auto"/>
        <w:bottom w:val="none" w:sz="0" w:space="0" w:color="auto"/>
        <w:right w:val="none" w:sz="0" w:space="0" w:color="auto"/>
      </w:divBdr>
      <w:divsChild>
        <w:div w:id="1380547949">
          <w:marLeft w:val="0"/>
          <w:marRight w:val="0"/>
          <w:marTop w:val="0"/>
          <w:marBottom w:val="0"/>
          <w:divBdr>
            <w:top w:val="none" w:sz="0" w:space="0" w:color="auto"/>
            <w:left w:val="none" w:sz="0" w:space="0" w:color="auto"/>
            <w:bottom w:val="none" w:sz="0" w:space="0" w:color="auto"/>
            <w:right w:val="none" w:sz="0" w:space="0" w:color="auto"/>
          </w:divBdr>
          <w:divsChild>
            <w:div w:id="7606185">
              <w:marLeft w:val="0"/>
              <w:marRight w:val="0"/>
              <w:marTop w:val="0"/>
              <w:marBottom w:val="0"/>
              <w:divBdr>
                <w:top w:val="none" w:sz="0" w:space="0" w:color="auto"/>
                <w:left w:val="none" w:sz="0" w:space="0" w:color="auto"/>
                <w:bottom w:val="none" w:sz="0" w:space="0" w:color="auto"/>
                <w:right w:val="none" w:sz="0" w:space="0" w:color="auto"/>
              </w:divBdr>
              <w:divsChild>
                <w:div w:id="1205873247">
                  <w:marLeft w:val="0"/>
                  <w:marRight w:val="0"/>
                  <w:marTop w:val="0"/>
                  <w:marBottom w:val="0"/>
                  <w:divBdr>
                    <w:top w:val="none" w:sz="0" w:space="0" w:color="auto"/>
                    <w:left w:val="none" w:sz="0" w:space="0" w:color="auto"/>
                    <w:bottom w:val="none" w:sz="0" w:space="0" w:color="auto"/>
                    <w:right w:val="none" w:sz="0" w:space="0" w:color="auto"/>
                  </w:divBdr>
                  <w:divsChild>
                    <w:div w:id="938410096">
                      <w:marLeft w:val="0"/>
                      <w:marRight w:val="0"/>
                      <w:marTop w:val="0"/>
                      <w:marBottom w:val="0"/>
                      <w:divBdr>
                        <w:top w:val="none" w:sz="0" w:space="0" w:color="auto"/>
                        <w:left w:val="none" w:sz="0" w:space="0" w:color="auto"/>
                        <w:bottom w:val="none" w:sz="0" w:space="0" w:color="auto"/>
                        <w:right w:val="none" w:sz="0" w:space="0" w:color="auto"/>
                      </w:divBdr>
                      <w:divsChild>
                        <w:div w:id="1615206583">
                          <w:marLeft w:val="0"/>
                          <w:marRight w:val="0"/>
                          <w:marTop w:val="0"/>
                          <w:marBottom w:val="0"/>
                          <w:divBdr>
                            <w:top w:val="none" w:sz="0" w:space="0" w:color="auto"/>
                            <w:left w:val="none" w:sz="0" w:space="0" w:color="auto"/>
                            <w:bottom w:val="none" w:sz="0" w:space="0" w:color="auto"/>
                            <w:right w:val="none" w:sz="0" w:space="0" w:color="auto"/>
                          </w:divBdr>
                          <w:divsChild>
                            <w:div w:id="186235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641743">
      <w:bodyDiv w:val="1"/>
      <w:marLeft w:val="0"/>
      <w:marRight w:val="0"/>
      <w:marTop w:val="0"/>
      <w:marBottom w:val="0"/>
      <w:divBdr>
        <w:top w:val="none" w:sz="0" w:space="0" w:color="auto"/>
        <w:left w:val="none" w:sz="0" w:space="0" w:color="auto"/>
        <w:bottom w:val="none" w:sz="0" w:space="0" w:color="auto"/>
        <w:right w:val="none" w:sz="0" w:space="0" w:color="auto"/>
      </w:divBdr>
    </w:div>
    <w:div w:id="1857307807">
      <w:bodyDiv w:val="1"/>
      <w:marLeft w:val="0"/>
      <w:marRight w:val="0"/>
      <w:marTop w:val="0"/>
      <w:marBottom w:val="0"/>
      <w:divBdr>
        <w:top w:val="none" w:sz="0" w:space="0" w:color="auto"/>
        <w:left w:val="none" w:sz="0" w:space="0" w:color="auto"/>
        <w:bottom w:val="none" w:sz="0" w:space="0" w:color="auto"/>
        <w:right w:val="none" w:sz="0" w:space="0" w:color="auto"/>
      </w:divBdr>
    </w:div>
    <w:div w:id="2004815437">
      <w:bodyDiv w:val="1"/>
      <w:marLeft w:val="0"/>
      <w:marRight w:val="0"/>
      <w:marTop w:val="0"/>
      <w:marBottom w:val="0"/>
      <w:divBdr>
        <w:top w:val="none" w:sz="0" w:space="0" w:color="auto"/>
        <w:left w:val="none" w:sz="0" w:space="0" w:color="auto"/>
        <w:bottom w:val="none" w:sz="0" w:space="0" w:color="auto"/>
        <w:right w:val="none" w:sz="0" w:space="0" w:color="auto"/>
      </w:divBdr>
    </w:div>
    <w:div w:id="2029943271">
      <w:bodyDiv w:val="1"/>
      <w:marLeft w:val="0"/>
      <w:marRight w:val="0"/>
      <w:marTop w:val="0"/>
      <w:marBottom w:val="0"/>
      <w:divBdr>
        <w:top w:val="none" w:sz="0" w:space="0" w:color="auto"/>
        <w:left w:val="none" w:sz="0" w:space="0" w:color="auto"/>
        <w:bottom w:val="none" w:sz="0" w:space="0" w:color="auto"/>
        <w:right w:val="none" w:sz="0" w:space="0" w:color="auto"/>
      </w:divBdr>
    </w:div>
    <w:div w:id="2030371537">
      <w:bodyDiv w:val="1"/>
      <w:marLeft w:val="0"/>
      <w:marRight w:val="0"/>
      <w:marTop w:val="0"/>
      <w:marBottom w:val="0"/>
      <w:divBdr>
        <w:top w:val="none" w:sz="0" w:space="0" w:color="auto"/>
        <w:left w:val="none" w:sz="0" w:space="0" w:color="auto"/>
        <w:bottom w:val="none" w:sz="0" w:space="0" w:color="auto"/>
        <w:right w:val="none" w:sz="0" w:space="0" w:color="auto"/>
      </w:divBdr>
    </w:div>
    <w:div w:id="2079088142">
      <w:bodyDiv w:val="1"/>
      <w:marLeft w:val="0"/>
      <w:marRight w:val="0"/>
      <w:marTop w:val="0"/>
      <w:marBottom w:val="0"/>
      <w:divBdr>
        <w:top w:val="none" w:sz="0" w:space="0" w:color="auto"/>
        <w:left w:val="none" w:sz="0" w:space="0" w:color="auto"/>
        <w:bottom w:val="none" w:sz="0" w:space="0" w:color="auto"/>
        <w:right w:val="none" w:sz="0" w:space="0" w:color="auto"/>
      </w:divBdr>
    </w:div>
    <w:div w:id="213709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c.europa.eu/info/funding-tenders/opportunities/port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info/funding-tenders/opportunities/port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c.europa.eu/info/funding-tenders/opportunities/docs/2021-2027/horizon/wp-call/2023-2024/wp-13-general-annexes_horizon-2023-2024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funding-tenders/opportunities/portal/screen/opportunities/topic-details/horizon-cl5-2023-d1-01-01;callCode=HORIZON-CL5-2023-D1-01;freeTextSearchKeyword=;matchWholeText=true;typeCodes=1;statusCodes=31094501,31094502,31094503;programmePeriod=null;programCcm2Id=43108390;programDivisionCode=null;focusAreaCode=null;destinationGroup=null;missionGroup=null;geographicalZonesCode=null;programmeDivisionProspect=null;startDateLte=null;startDateGte=null;crossCuttingPriorityCode=null;cpvCode=null;performanceOfDelivery=null;sortQuery=sortStatus;orderBy=asc;onlyTenders=false;topicListKey=callTopicSearchTableState" TargetMode="External"/><Relationship Id="rId5" Type="http://schemas.openxmlformats.org/officeDocument/2006/relationships/webSettings" Target="webSettings.xml"/><Relationship Id="rId15" Type="http://schemas.openxmlformats.org/officeDocument/2006/relationships/hyperlink" Target="mailto:projects@prf.jcu.cz" TargetMode="External"/><Relationship Id="rId10" Type="http://schemas.openxmlformats.org/officeDocument/2006/relationships/hyperlink" Target="javascrip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c.europa.eu/info/funding-tenders/opportunities/docs/2021-2027/horizon/wp-call/2023-2024/wp-13-general-annexes_horizon-2023-2024_en.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131B3-0203-4D45-B411-2AB241B98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2593</Words>
  <Characters>15302</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dc:creator>
  <cp:lastModifiedBy>Marková Lucie Bc.</cp:lastModifiedBy>
  <cp:revision>4</cp:revision>
  <cp:lastPrinted>2018-10-03T06:38:00Z</cp:lastPrinted>
  <dcterms:created xsi:type="dcterms:W3CDTF">2023-02-16T11:11:00Z</dcterms:created>
  <dcterms:modified xsi:type="dcterms:W3CDTF">2023-02-16T13:01:00Z</dcterms:modified>
</cp:coreProperties>
</file>